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580" w:lineRule="exact"/>
        <w:ind w:left="1598" w:leftChars="304" w:hanging="960" w:hangingChars="300"/>
        <w:rPr>
          <w:rFonts w:hint="eastAsia" w:ascii="仿宋_GB2312" w:hAnsi="仿宋_GB2312" w:eastAsia="仿宋_GB2312" w:cs="仿宋_GB2312"/>
          <w:color w:val="auto"/>
          <w:sz w:val="32"/>
          <w:szCs w:val="32"/>
        </w:rPr>
      </w:pPr>
    </w:p>
    <w:p>
      <w:pPr>
        <w:snapToGrid w:val="0"/>
        <w:spacing w:line="360" w:lineRule="auto"/>
        <w:jc w:val="left"/>
        <w:rPr>
          <w:rFonts w:hint="default" w:ascii="黑体" w:hAnsi="黑体" w:eastAsia="黑体" w:cs="黑体"/>
          <w:color w:val="auto"/>
          <w:sz w:val="32"/>
          <w:szCs w:val="32"/>
          <w:highlight w:val="none"/>
          <w:lang w:val="en-US" w:eastAsia="zh-CN"/>
        </w:rPr>
      </w:pPr>
    </w:p>
    <w:p>
      <w:pPr>
        <w:snapToGrid w:val="0"/>
        <w:spacing w:line="360" w:lineRule="auto"/>
        <w:jc w:val="right"/>
        <w:rPr>
          <w:rFonts w:hint="eastAsia" w:ascii="仿宋_GB2312" w:eastAsia="仿宋_GB2312" w:cs="仿宋_GB2312"/>
          <w:color w:val="auto"/>
          <w:sz w:val="32"/>
          <w:szCs w:val="32"/>
          <w:highlight w:val="none"/>
        </w:rPr>
      </w:pPr>
    </w:p>
    <w:p>
      <w:pPr>
        <w:pStyle w:val="7"/>
        <w:snapToGrid w:val="0"/>
        <w:spacing w:line="360" w:lineRule="auto"/>
        <w:jc w:val="center"/>
        <w:rPr>
          <w:rFonts w:hint="eastAsia" w:ascii="黑体" w:eastAsia="黑体"/>
          <w:b/>
          <w:bCs/>
          <w:color w:val="auto"/>
          <w:sz w:val="52"/>
          <w:szCs w:val="52"/>
          <w:highlight w:val="none"/>
        </w:rPr>
      </w:pPr>
    </w:p>
    <w:p>
      <w:pPr>
        <w:pStyle w:val="7"/>
        <w:snapToGrid w:val="0"/>
        <w:spacing w:line="360" w:lineRule="auto"/>
        <w:rPr>
          <w:rFonts w:hint="eastAsia" w:ascii="黑体" w:eastAsia="黑体"/>
          <w:b/>
          <w:bCs/>
          <w:color w:val="auto"/>
          <w:sz w:val="52"/>
          <w:szCs w:val="52"/>
          <w:highlight w:val="none"/>
        </w:rPr>
      </w:pPr>
    </w:p>
    <w:p>
      <w:pPr>
        <w:pStyle w:val="7"/>
        <w:snapToGrid w:val="0"/>
        <w:spacing w:line="800" w:lineRule="exact"/>
        <w:jc w:val="center"/>
        <w:rPr>
          <w:rFonts w:hint="eastAsia" w:ascii="方正小标宋简体" w:hAnsi="方正小标宋简体" w:eastAsia="方正小标宋简体" w:cs="方正小标宋简体"/>
          <w:color w:val="auto"/>
          <w:sz w:val="52"/>
          <w:szCs w:val="52"/>
          <w:highlight w:val="none"/>
        </w:rPr>
      </w:pPr>
      <w:r>
        <w:rPr>
          <w:rFonts w:hint="eastAsia" w:ascii="方正小标宋简体" w:hAnsi="方正小标宋简体" w:eastAsia="方正小标宋简体" w:cs="方正小标宋简体"/>
          <w:color w:val="auto"/>
          <w:sz w:val="52"/>
          <w:szCs w:val="52"/>
          <w:highlight w:val="none"/>
        </w:rPr>
        <w:t>广州市自来水工程有限公司合规管理</w:t>
      </w:r>
    </w:p>
    <w:p>
      <w:pPr>
        <w:pStyle w:val="7"/>
        <w:snapToGrid w:val="0"/>
        <w:spacing w:line="800" w:lineRule="exact"/>
        <w:jc w:val="center"/>
        <w:rPr>
          <w:rFonts w:hint="eastAsia" w:ascii="方正小标宋简体" w:hAnsi="方正小标宋简体" w:eastAsia="方正小标宋简体" w:cs="方正小标宋简体"/>
          <w:color w:val="auto"/>
          <w:sz w:val="52"/>
          <w:szCs w:val="52"/>
          <w:highlight w:val="none"/>
        </w:rPr>
      </w:pPr>
      <w:r>
        <w:rPr>
          <w:rFonts w:hint="eastAsia" w:ascii="方正小标宋简体" w:hAnsi="方正小标宋简体" w:eastAsia="方正小标宋简体" w:cs="方正小标宋简体"/>
          <w:color w:val="auto"/>
          <w:sz w:val="52"/>
          <w:szCs w:val="52"/>
          <w:highlight w:val="none"/>
        </w:rPr>
        <w:t>体系建设及风险、内控、合规</w:t>
      </w:r>
    </w:p>
    <w:p>
      <w:pPr>
        <w:pStyle w:val="7"/>
        <w:snapToGrid w:val="0"/>
        <w:spacing w:line="800" w:lineRule="exact"/>
        <w:jc w:val="center"/>
        <w:rPr>
          <w:rFonts w:hint="eastAsia" w:ascii="方正小标宋简体" w:hAnsi="方正小标宋简体" w:eastAsia="方正小标宋简体" w:cs="方正小标宋简体"/>
          <w:color w:val="auto"/>
          <w:sz w:val="52"/>
          <w:szCs w:val="52"/>
          <w:highlight w:val="none"/>
        </w:rPr>
      </w:pPr>
      <w:r>
        <w:rPr>
          <w:rFonts w:hint="eastAsia" w:ascii="方正小标宋简体" w:hAnsi="方正小标宋简体" w:eastAsia="方正小标宋简体" w:cs="方正小标宋简体"/>
          <w:color w:val="auto"/>
          <w:sz w:val="52"/>
          <w:szCs w:val="52"/>
          <w:highlight w:val="none"/>
        </w:rPr>
        <w:t>三体系整合建设咨询</w:t>
      </w:r>
    </w:p>
    <w:p>
      <w:pPr>
        <w:pStyle w:val="7"/>
        <w:snapToGrid w:val="0"/>
        <w:spacing w:line="800" w:lineRule="exact"/>
        <w:jc w:val="center"/>
        <w:rPr>
          <w:rFonts w:hint="eastAsia" w:ascii="方正小标宋简体" w:hAnsi="方正小标宋简体" w:eastAsia="方正小标宋简体" w:cs="方正小标宋简体"/>
          <w:color w:val="auto"/>
          <w:sz w:val="52"/>
          <w:szCs w:val="52"/>
          <w:highlight w:val="none"/>
        </w:rPr>
      </w:pPr>
      <w:r>
        <w:rPr>
          <w:rFonts w:hint="eastAsia" w:ascii="方正小标宋简体" w:hAnsi="方正小标宋简体" w:eastAsia="方正小标宋简体" w:cs="方正小标宋简体"/>
          <w:color w:val="auto"/>
          <w:sz w:val="52"/>
          <w:szCs w:val="52"/>
          <w:highlight w:val="none"/>
        </w:rPr>
        <w:t>服务项目</w:t>
      </w:r>
    </w:p>
    <w:p>
      <w:pPr>
        <w:pStyle w:val="7"/>
        <w:snapToGrid w:val="0"/>
        <w:spacing w:line="360" w:lineRule="auto"/>
        <w:jc w:val="center"/>
        <w:rPr>
          <w:rFonts w:hint="eastAsia" w:ascii="黑体" w:eastAsia="黑体"/>
          <w:b/>
          <w:bCs/>
          <w:color w:val="auto"/>
          <w:sz w:val="52"/>
          <w:szCs w:val="52"/>
          <w:highlight w:val="none"/>
        </w:rPr>
      </w:pPr>
    </w:p>
    <w:p>
      <w:pPr>
        <w:pStyle w:val="7"/>
        <w:snapToGrid w:val="0"/>
        <w:spacing w:line="360" w:lineRule="auto"/>
        <w:jc w:val="center"/>
        <w:rPr>
          <w:rFonts w:hint="eastAsia" w:ascii="方正小标宋简体" w:hAnsi="方正小标宋简体" w:eastAsia="方正小标宋简体" w:cs="方正小标宋简体"/>
          <w:color w:val="auto"/>
          <w:sz w:val="52"/>
          <w:szCs w:val="52"/>
          <w:highlight w:val="none"/>
        </w:rPr>
      </w:pPr>
      <w:r>
        <w:rPr>
          <w:rFonts w:hint="eastAsia" w:ascii="方正小标宋简体" w:hAnsi="方正小标宋简体" w:eastAsia="方正小标宋简体" w:cs="方正小标宋简体"/>
          <w:color w:val="auto"/>
          <w:sz w:val="52"/>
          <w:szCs w:val="52"/>
          <w:highlight w:val="none"/>
        </w:rPr>
        <w:t xml:space="preserve"> 采 购 文 件</w:t>
      </w:r>
    </w:p>
    <w:p>
      <w:pPr>
        <w:pStyle w:val="7"/>
        <w:snapToGrid w:val="0"/>
        <w:spacing w:line="360" w:lineRule="auto"/>
        <w:jc w:val="center"/>
        <w:rPr>
          <w:rFonts w:hint="eastAsia"/>
          <w:b/>
          <w:bCs/>
          <w:color w:val="auto"/>
          <w:sz w:val="28"/>
          <w:highlight w:val="none"/>
        </w:rPr>
      </w:pPr>
    </w:p>
    <w:p>
      <w:pPr>
        <w:pStyle w:val="7"/>
        <w:snapToGrid w:val="0"/>
        <w:spacing w:line="360" w:lineRule="auto"/>
        <w:jc w:val="center"/>
        <w:rPr>
          <w:rFonts w:hint="eastAsia"/>
          <w:b/>
          <w:bCs/>
          <w:color w:val="auto"/>
          <w:sz w:val="28"/>
          <w:highlight w:val="none"/>
        </w:rPr>
      </w:pPr>
    </w:p>
    <w:p>
      <w:pPr>
        <w:snapToGrid w:val="0"/>
        <w:spacing w:line="360" w:lineRule="auto"/>
        <w:jc w:val="center"/>
        <w:rPr>
          <w:rFonts w:hint="eastAsia"/>
          <w:color w:val="auto"/>
          <w:highlight w:val="none"/>
        </w:rPr>
      </w:pPr>
    </w:p>
    <w:p>
      <w:pPr>
        <w:snapToGrid w:val="0"/>
        <w:spacing w:line="360" w:lineRule="auto"/>
        <w:jc w:val="center"/>
        <w:rPr>
          <w:rFonts w:hint="eastAsia"/>
          <w:color w:val="auto"/>
          <w:highlight w:val="none"/>
        </w:rPr>
      </w:pPr>
    </w:p>
    <w:p>
      <w:pPr>
        <w:snapToGrid w:val="0"/>
        <w:spacing w:line="360" w:lineRule="auto"/>
        <w:jc w:val="center"/>
        <w:rPr>
          <w:rFonts w:hint="eastAsia"/>
          <w:color w:val="auto"/>
          <w:highlight w:val="none"/>
        </w:rPr>
      </w:pPr>
    </w:p>
    <w:p>
      <w:pPr>
        <w:snapToGrid w:val="0"/>
        <w:spacing w:line="360" w:lineRule="auto"/>
        <w:jc w:val="center"/>
        <w:rPr>
          <w:rFonts w:hint="eastAsia"/>
          <w:color w:val="auto"/>
          <w:highlight w:val="none"/>
        </w:rPr>
      </w:pPr>
    </w:p>
    <w:p>
      <w:pPr>
        <w:snapToGrid w:val="0"/>
        <w:spacing w:line="360" w:lineRule="auto"/>
        <w:jc w:val="center"/>
        <w:rPr>
          <w:rFonts w:hint="eastAsia" w:ascii="宋体"/>
          <w:b/>
          <w:bCs/>
          <w:color w:val="auto"/>
          <w:highlight w:val="none"/>
        </w:rPr>
      </w:pPr>
    </w:p>
    <w:p>
      <w:pPr>
        <w:snapToGrid w:val="0"/>
        <w:spacing w:line="360" w:lineRule="auto"/>
        <w:jc w:val="center"/>
        <w:rPr>
          <w:rFonts w:hint="eastAsia"/>
          <w:color w:val="auto"/>
          <w:highlight w:val="none"/>
        </w:rPr>
      </w:pPr>
      <w:r>
        <w:rPr>
          <w:rFonts w:hint="eastAsia" w:ascii="黑体" w:hAnsi="黑体" w:eastAsia="黑体" w:cs="黑体"/>
          <w:color w:val="auto"/>
          <w:sz w:val="36"/>
          <w:szCs w:val="36"/>
          <w:highlight w:val="none"/>
        </w:rPr>
        <w:t>采购人：广州市自来水工程有限公司</w:t>
      </w:r>
    </w:p>
    <w:p>
      <w:pPr>
        <w:pStyle w:val="8"/>
        <w:snapToGrid w:val="0"/>
        <w:spacing w:line="360" w:lineRule="auto"/>
        <w:jc w:val="center"/>
        <w:rPr>
          <w:rFonts w:hint="eastAsia" w:ascii="黑体" w:hAnsi="黑体" w:eastAsia="黑体" w:cs="黑体"/>
          <w:color w:val="auto"/>
          <w:sz w:val="36"/>
          <w:szCs w:val="36"/>
          <w:highlight w:val="none"/>
        </w:rPr>
        <w:sectPr>
          <w:footerReference r:id="rId3" w:type="first"/>
          <w:pgSz w:w="11906" w:h="16838"/>
          <w:pgMar w:top="1418" w:right="1646" w:bottom="1247" w:left="1418" w:header="851" w:footer="794" w:gutter="0"/>
          <w:pgNumType w:start="1"/>
          <w:cols w:space="720" w:num="1"/>
          <w:docGrid w:type="lines" w:linePitch="312" w:charSpace="0"/>
        </w:sectPr>
      </w:pPr>
      <w:r>
        <w:rPr>
          <w:rFonts w:hint="eastAsia" w:ascii="黑体" w:hAnsi="黑体" w:eastAsia="黑体" w:cs="黑体"/>
          <w:color w:val="auto"/>
          <w:sz w:val="36"/>
          <w:szCs w:val="36"/>
          <w:highlight w:val="none"/>
        </w:rPr>
        <w:t>2021年</w:t>
      </w:r>
      <w:r>
        <w:rPr>
          <w:rFonts w:hint="eastAsia" w:ascii="黑体" w:hAnsi="黑体" w:eastAsia="黑体" w:cs="黑体"/>
          <w:color w:val="auto"/>
          <w:sz w:val="36"/>
          <w:szCs w:val="36"/>
          <w:highlight w:val="none"/>
          <w:lang w:val="en-US" w:eastAsia="zh-CN"/>
        </w:rPr>
        <w:t>9</w:t>
      </w:r>
      <w:r>
        <w:rPr>
          <w:rFonts w:hint="eastAsia" w:ascii="黑体" w:hAnsi="黑体" w:eastAsia="黑体" w:cs="黑体"/>
          <w:color w:val="auto"/>
          <w:sz w:val="36"/>
          <w:szCs w:val="36"/>
          <w:highlight w:val="none"/>
        </w:rPr>
        <w:t>月</w:t>
      </w:r>
    </w:p>
    <w:p>
      <w:pPr>
        <w:pStyle w:val="10"/>
        <w:snapToGrid w:val="0"/>
        <w:spacing w:line="360" w:lineRule="auto"/>
        <w:ind w:left="0" w:leftChars="0" w:right="210" w:firstLine="0" w:firstLineChars="0"/>
        <w:rPr>
          <w:rFonts w:hint="eastAsia" w:ascii="黑体" w:hAnsi="黑体" w:eastAsia="黑体" w:cs="黑体"/>
          <w:b w:val="0"/>
          <w:bCs w:val="0"/>
          <w:color w:val="auto"/>
          <w:sz w:val="32"/>
          <w:szCs w:val="32"/>
          <w:highlight w:val="none"/>
        </w:rPr>
      </w:pPr>
      <w:r>
        <w:rPr>
          <w:rFonts w:hint="eastAsia"/>
          <w:color w:val="auto"/>
          <w:sz w:val="30"/>
          <w:highlight w:val="none"/>
        </w:rPr>
        <w:t xml:space="preserve">                       </w:t>
      </w:r>
      <w:r>
        <w:rPr>
          <w:rFonts w:hint="eastAsia" w:ascii="黑体" w:hAnsi="黑体" w:eastAsia="黑体" w:cs="黑体"/>
          <w:b w:val="0"/>
          <w:bCs w:val="0"/>
          <w:color w:val="auto"/>
          <w:sz w:val="32"/>
          <w:szCs w:val="32"/>
          <w:highlight w:val="none"/>
        </w:rPr>
        <w:t xml:space="preserve"> 目  录</w:t>
      </w:r>
      <w:r>
        <w:rPr>
          <w:rFonts w:hint="eastAsia" w:ascii="黑体" w:hAnsi="黑体" w:eastAsia="黑体" w:cs="黑体"/>
          <w:b w:val="0"/>
          <w:bCs w:val="0"/>
          <w:color w:val="auto"/>
          <w:sz w:val="32"/>
          <w:szCs w:val="32"/>
          <w:highlight w:val="none"/>
        </w:rPr>
        <w:fldChar w:fldCharType="begin"/>
      </w:r>
      <w:r>
        <w:rPr>
          <w:rStyle w:val="17"/>
          <w:rFonts w:hint="eastAsia" w:ascii="黑体" w:hAnsi="黑体" w:eastAsia="黑体" w:cs="黑体"/>
          <w:b w:val="0"/>
          <w:bCs w:val="0"/>
          <w:color w:val="auto"/>
          <w:sz w:val="32"/>
          <w:szCs w:val="32"/>
          <w:highlight w:val="none"/>
        </w:rPr>
        <w:instrText xml:space="preserve"> TOC \o "1-5" \h \z \u </w:instrText>
      </w:r>
      <w:r>
        <w:rPr>
          <w:rFonts w:hint="eastAsia" w:ascii="黑体" w:hAnsi="黑体" w:eastAsia="黑体" w:cs="黑体"/>
          <w:b w:val="0"/>
          <w:bCs w:val="0"/>
          <w:color w:val="auto"/>
          <w:sz w:val="32"/>
          <w:szCs w:val="32"/>
          <w:highlight w:val="none"/>
        </w:rPr>
        <w:fldChar w:fldCharType="separate"/>
      </w:r>
    </w:p>
    <w:p>
      <w:pPr>
        <w:pStyle w:val="10"/>
        <w:spacing w:before="0" w:after="0"/>
        <w:ind w:left="0" w:leftChars="0" w:right="0" w:rightChars="0" w:firstLine="0" w:firstLineChars="0"/>
        <w:rPr>
          <w:rFonts w:hint="eastAsia" w:ascii="黑体" w:hAnsi="黑体" w:eastAsia="黑体" w:cs="黑体"/>
          <w:b w:val="0"/>
          <w:bCs w:val="0"/>
          <w:caps w:val="0"/>
          <w:color w:val="auto"/>
          <w:sz w:val="32"/>
          <w:szCs w:val="32"/>
          <w:highlight w:val="none"/>
        </w:rPr>
      </w:pPr>
      <w:r>
        <w:rPr>
          <w:rStyle w:val="17"/>
          <w:rFonts w:hint="eastAsia" w:ascii="黑体" w:hAnsi="黑体" w:eastAsia="黑体" w:cs="黑体"/>
          <w:b w:val="0"/>
          <w:bCs w:val="0"/>
          <w:color w:val="auto"/>
          <w:sz w:val="32"/>
          <w:szCs w:val="32"/>
          <w:highlight w:val="none"/>
        </w:rPr>
        <w:t xml:space="preserve">1.第一编 </w:t>
      </w:r>
      <w:r>
        <w:rPr>
          <w:rStyle w:val="17"/>
          <w:rFonts w:hint="eastAsia" w:ascii="黑体" w:hAnsi="黑体" w:eastAsia="黑体" w:cs="黑体"/>
          <w:b w:val="0"/>
          <w:bCs w:val="0"/>
          <w:color w:val="auto"/>
          <w:sz w:val="32"/>
          <w:szCs w:val="32"/>
          <w:highlight w:val="none"/>
        </w:rPr>
        <w:fldChar w:fldCharType="begin"/>
      </w:r>
      <w:r>
        <w:rPr>
          <w:rStyle w:val="17"/>
          <w:rFonts w:hint="eastAsia" w:ascii="黑体" w:hAnsi="黑体" w:eastAsia="黑体" w:cs="黑体"/>
          <w:b w:val="0"/>
          <w:bCs w:val="0"/>
          <w:color w:val="auto"/>
          <w:sz w:val="32"/>
          <w:szCs w:val="32"/>
          <w:highlight w:val="none"/>
        </w:rPr>
        <w:instrText xml:space="preserve"> </w:instrText>
      </w:r>
      <w:r>
        <w:rPr>
          <w:rFonts w:hint="eastAsia" w:ascii="黑体" w:hAnsi="黑体" w:eastAsia="黑体" w:cs="黑体"/>
          <w:b w:val="0"/>
          <w:bCs w:val="0"/>
          <w:color w:val="auto"/>
          <w:sz w:val="32"/>
          <w:szCs w:val="32"/>
          <w:highlight w:val="none"/>
        </w:rPr>
        <w:instrText xml:space="preserve">HYPERLINK \l "_Toc70512137"</w:instrText>
      </w:r>
      <w:r>
        <w:rPr>
          <w:rStyle w:val="17"/>
          <w:rFonts w:hint="eastAsia" w:ascii="黑体" w:hAnsi="黑体" w:eastAsia="黑体" w:cs="黑体"/>
          <w:b w:val="0"/>
          <w:bCs w:val="0"/>
          <w:color w:val="auto"/>
          <w:sz w:val="32"/>
          <w:szCs w:val="32"/>
          <w:highlight w:val="none"/>
        </w:rPr>
        <w:instrText xml:space="preserve"> </w:instrText>
      </w:r>
      <w:r>
        <w:rPr>
          <w:rStyle w:val="17"/>
          <w:rFonts w:hint="eastAsia" w:ascii="黑体" w:hAnsi="黑体" w:eastAsia="黑体" w:cs="黑体"/>
          <w:b w:val="0"/>
          <w:bCs w:val="0"/>
          <w:color w:val="auto"/>
          <w:sz w:val="32"/>
          <w:szCs w:val="32"/>
          <w:highlight w:val="none"/>
        </w:rPr>
        <w:fldChar w:fldCharType="separate"/>
      </w:r>
      <w:r>
        <w:rPr>
          <w:rStyle w:val="17"/>
          <w:rFonts w:hint="eastAsia" w:ascii="黑体" w:hAnsi="黑体" w:eastAsia="黑体" w:cs="黑体"/>
          <w:b w:val="0"/>
          <w:bCs w:val="0"/>
          <w:color w:val="auto"/>
          <w:sz w:val="32"/>
          <w:szCs w:val="32"/>
          <w:highlight w:val="none"/>
        </w:rPr>
        <w:t>采购</w:t>
      </w:r>
      <w:r>
        <w:rPr>
          <w:rStyle w:val="17"/>
          <w:rFonts w:hint="eastAsia" w:ascii="黑体" w:hAnsi="黑体" w:eastAsia="黑体" w:cs="黑体"/>
          <w:b w:val="0"/>
          <w:bCs w:val="0"/>
          <w:color w:val="auto"/>
          <w:sz w:val="32"/>
          <w:szCs w:val="32"/>
          <w:highlight w:val="none"/>
          <w:lang w:eastAsia="zh-CN"/>
        </w:rPr>
        <w:t>邀请书</w:t>
      </w:r>
      <w:r>
        <w:rPr>
          <w:color w:val="auto"/>
          <w:highlight w:val="none"/>
        </w:rPr>
        <w:tab/>
      </w:r>
      <w:r>
        <w:rPr>
          <w:rFonts w:hint="eastAsia"/>
          <w:color w:val="auto"/>
          <w:highlight w:val="none"/>
        </w:rPr>
        <w:t>.........................................................................................................</w:t>
      </w:r>
      <w:r>
        <w:rPr>
          <w:rFonts w:hint="eastAsia" w:ascii="黑体" w:hAnsi="黑体" w:eastAsia="黑体" w:cs="黑体"/>
          <w:b w:val="0"/>
          <w:bCs w:val="0"/>
          <w:color w:val="auto"/>
          <w:sz w:val="32"/>
          <w:szCs w:val="32"/>
          <w:highlight w:val="none"/>
        </w:rPr>
        <w:t>1</w:t>
      </w:r>
      <w:r>
        <w:rPr>
          <w:rStyle w:val="17"/>
          <w:rFonts w:hint="eastAsia" w:ascii="黑体" w:hAnsi="黑体" w:eastAsia="黑体" w:cs="黑体"/>
          <w:b w:val="0"/>
          <w:bCs w:val="0"/>
          <w:color w:val="auto"/>
          <w:sz w:val="32"/>
          <w:szCs w:val="32"/>
          <w:highlight w:val="none"/>
        </w:rPr>
        <w:fldChar w:fldCharType="end"/>
      </w:r>
    </w:p>
    <w:p>
      <w:pPr>
        <w:pStyle w:val="12"/>
        <w:ind w:left="0" w:leftChars="0" w:right="0" w:rightChars="0" w:firstLine="0" w:firstLineChars="0"/>
        <w:rPr>
          <w:rStyle w:val="17"/>
          <w:rFonts w:hint="eastAsia" w:ascii="黑体" w:hAnsi="黑体" w:eastAsia="宋体" w:cs="黑体"/>
          <w:b w:val="0"/>
          <w:color w:val="auto"/>
          <w:kern w:val="0"/>
          <w:sz w:val="32"/>
          <w:szCs w:val="32"/>
          <w:highlight w:val="none"/>
          <w:lang w:val="en-US" w:eastAsia="zh-CN"/>
        </w:rPr>
      </w:pPr>
      <w:r>
        <w:rPr>
          <w:rStyle w:val="17"/>
          <w:rFonts w:hint="eastAsia" w:ascii="黑体" w:hAnsi="黑体" w:eastAsia="黑体" w:cs="黑体"/>
          <w:b w:val="0"/>
          <w:color w:val="auto"/>
          <w:sz w:val="32"/>
          <w:szCs w:val="32"/>
          <w:highlight w:val="none"/>
        </w:rPr>
        <w:t>2.</w:t>
      </w:r>
      <w:r>
        <w:rPr>
          <w:rStyle w:val="17"/>
          <w:rFonts w:hint="eastAsia" w:ascii="黑体" w:hAnsi="黑体" w:eastAsia="黑体" w:cs="黑体"/>
          <w:b w:val="0"/>
          <w:color w:val="auto"/>
          <w:sz w:val="32"/>
          <w:szCs w:val="32"/>
          <w:highlight w:val="none"/>
        </w:rPr>
        <w:fldChar w:fldCharType="begin"/>
      </w:r>
      <w:r>
        <w:rPr>
          <w:rStyle w:val="17"/>
          <w:rFonts w:hint="eastAsia" w:ascii="黑体" w:hAnsi="黑体" w:eastAsia="黑体" w:cs="黑体"/>
          <w:b w:val="0"/>
          <w:color w:val="auto"/>
          <w:sz w:val="32"/>
          <w:szCs w:val="32"/>
          <w:highlight w:val="none"/>
        </w:rPr>
        <w:instrText xml:space="preserve"> </w:instrText>
      </w:r>
      <w:r>
        <w:rPr>
          <w:rFonts w:hint="eastAsia" w:ascii="黑体" w:hAnsi="黑体" w:eastAsia="黑体" w:cs="黑体"/>
          <w:b w:val="0"/>
          <w:color w:val="auto"/>
          <w:sz w:val="32"/>
          <w:szCs w:val="32"/>
          <w:highlight w:val="none"/>
        </w:rPr>
        <w:instrText xml:space="preserve">HYPERLINK \l "_Toc70512138"</w:instrText>
      </w:r>
      <w:r>
        <w:rPr>
          <w:rStyle w:val="17"/>
          <w:rFonts w:hint="eastAsia" w:ascii="黑体" w:hAnsi="黑体" w:eastAsia="黑体" w:cs="黑体"/>
          <w:b w:val="0"/>
          <w:color w:val="auto"/>
          <w:sz w:val="32"/>
          <w:szCs w:val="32"/>
          <w:highlight w:val="none"/>
        </w:rPr>
        <w:instrText xml:space="preserve"> </w:instrText>
      </w:r>
      <w:r>
        <w:rPr>
          <w:rStyle w:val="17"/>
          <w:rFonts w:hint="eastAsia" w:ascii="黑体" w:hAnsi="黑体" w:eastAsia="黑体" w:cs="黑体"/>
          <w:b w:val="0"/>
          <w:color w:val="auto"/>
          <w:sz w:val="32"/>
          <w:szCs w:val="32"/>
          <w:highlight w:val="none"/>
        </w:rPr>
        <w:fldChar w:fldCharType="separate"/>
      </w:r>
      <w:r>
        <w:rPr>
          <w:rStyle w:val="17"/>
          <w:rFonts w:hint="eastAsia" w:ascii="黑体" w:hAnsi="黑体" w:eastAsia="黑体" w:cs="黑体"/>
          <w:b w:val="0"/>
          <w:color w:val="auto"/>
          <w:kern w:val="0"/>
          <w:sz w:val="32"/>
          <w:szCs w:val="32"/>
          <w:highlight w:val="none"/>
        </w:rPr>
        <w:t>第二编 项目概况及需求</w:t>
      </w:r>
      <w:r>
        <w:rPr>
          <w:rFonts w:hint="eastAsia"/>
          <w:color w:val="auto"/>
          <w:highlight w:val="none"/>
        </w:rPr>
        <w:t>..............................................................................................</w:t>
      </w:r>
      <w:r>
        <w:rPr>
          <w:rFonts w:hint="eastAsia" w:ascii="黑体" w:hAnsi="黑体" w:eastAsia="黑体" w:cs="黑体"/>
          <w:b w:val="0"/>
          <w:bCs/>
          <w:color w:val="auto"/>
          <w:sz w:val="32"/>
          <w:szCs w:val="32"/>
          <w:highlight w:val="none"/>
        </w:rPr>
        <w:t>3</w:t>
      </w:r>
    </w:p>
    <w:p>
      <w:pPr>
        <w:pStyle w:val="12"/>
        <w:ind w:left="0" w:leftChars="0" w:right="0" w:rightChars="0" w:firstLine="0" w:firstLineChars="0"/>
        <w:rPr>
          <w:rFonts w:hint="eastAsia" w:ascii="黑体" w:hAnsi="黑体" w:eastAsia="黑体" w:cs="黑体"/>
          <w:b w:val="0"/>
          <w:smallCaps w:val="0"/>
          <w:color w:val="auto"/>
          <w:sz w:val="32"/>
          <w:szCs w:val="32"/>
          <w:highlight w:val="none"/>
          <w:lang w:val="en-US" w:eastAsia="zh-CN"/>
        </w:rPr>
      </w:pPr>
      <w:r>
        <w:rPr>
          <w:rStyle w:val="17"/>
          <w:rFonts w:hint="eastAsia" w:ascii="黑体" w:hAnsi="黑体" w:eastAsia="黑体" w:cs="黑体"/>
          <w:b w:val="0"/>
          <w:color w:val="auto"/>
          <w:kern w:val="0"/>
          <w:sz w:val="32"/>
          <w:szCs w:val="32"/>
          <w:highlight w:val="none"/>
          <w:lang w:val="en-US" w:eastAsia="zh-CN"/>
        </w:rPr>
        <w:t xml:space="preserve">3.第三编 </w:t>
      </w:r>
      <w:r>
        <w:rPr>
          <w:rStyle w:val="17"/>
          <w:rFonts w:hint="eastAsia" w:ascii="黑体" w:hAnsi="黑体" w:eastAsia="黑体" w:cs="黑体"/>
          <w:b w:val="0"/>
          <w:color w:val="auto"/>
          <w:kern w:val="0"/>
          <w:sz w:val="32"/>
          <w:szCs w:val="32"/>
          <w:highlight w:val="none"/>
        </w:rPr>
        <w:t>响应须知</w:t>
      </w:r>
      <w:r>
        <w:rPr>
          <w:color w:val="auto"/>
          <w:highlight w:val="none"/>
        </w:rPr>
        <w:tab/>
      </w:r>
      <w:r>
        <w:rPr>
          <w:rFonts w:hint="eastAsia"/>
          <w:color w:val="auto"/>
          <w:highlight w:val="none"/>
        </w:rPr>
        <w:t>.............................................................................................................</w:t>
      </w:r>
      <w:r>
        <w:rPr>
          <w:rFonts w:hint="eastAsia" w:ascii="黑体" w:hAnsi="黑体" w:eastAsia="黑体" w:cs="黑体"/>
          <w:b w:val="0"/>
          <w:color w:val="auto"/>
          <w:sz w:val="32"/>
          <w:szCs w:val="32"/>
          <w:highlight w:val="none"/>
          <w:lang w:val="en-US" w:eastAsia="zh-CN"/>
        </w:rPr>
        <w:t>1</w:t>
      </w:r>
      <w:r>
        <w:rPr>
          <w:rStyle w:val="17"/>
          <w:rFonts w:hint="eastAsia" w:ascii="黑体" w:hAnsi="黑体" w:eastAsia="黑体" w:cs="黑体"/>
          <w:b w:val="0"/>
          <w:color w:val="auto"/>
          <w:sz w:val="32"/>
          <w:szCs w:val="32"/>
          <w:highlight w:val="none"/>
        </w:rPr>
        <w:fldChar w:fldCharType="end"/>
      </w:r>
      <w:r>
        <w:rPr>
          <w:rStyle w:val="17"/>
          <w:rFonts w:hint="eastAsia" w:ascii="黑体" w:hAnsi="黑体" w:eastAsia="黑体" w:cs="黑体"/>
          <w:b w:val="0"/>
          <w:color w:val="auto"/>
          <w:sz w:val="32"/>
          <w:szCs w:val="32"/>
          <w:highlight w:val="none"/>
          <w:lang w:val="en-US" w:eastAsia="zh-CN"/>
        </w:rPr>
        <w:t>0</w:t>
      </w:r>
    </w:p>
    <w:p>
      <w:pPr>
        <w:pStyle w:val="6"/>
        <w:tabs>
          <w:tab w:val="right" w:leader="dot" w:pos="8832"/>
        </w:tabs>
        <w:ind w:left="0" w:leftChars="0" w:right="210"/>
        <w:rPr>
          <w:rFonts w:hint="eastAsia" w:ascii="黑体" w:hAnsi="黑体" w:eastAsia="黑体" w:cs="黑体"/>
          <w:b w:val="0"/>
          <w:iCs w:val="0"/>
          <w:color w:val="auto"/>
          <w:sz w:val="32"/>
          <w:szCs w:val="32"/>
          <w:highlight w:val="none"/>
        </w:rPr>
      </w:pPr>
      <w:r>
        <w:rPr>
          <w:rStyle w:val="17"/>
          <w:rFonts w:hint="eastAsia" w:ascii="黑体" w:hAnsi="黑体" w:eastAsia="黑体" w:cs="黑体"/>
          <w:b w:val="0"/>
          <w:color w:val="auto"/>
          <w:sz w:val="32"/>
          <w:szCs w:val="32"/>
          <w:highlight w:val="none"/>
          <w:lang w:val="en-US" w:eastAsia="zh-CN"/>
        </w:rPr>
        <w:t>4</w:t>
      </w:r>
      <w:r>
        <w:rPr>
          <w:rStyle w:val="17"/>
          <w:rFonts w:hint="eastAsia" w:ascii="黑体" w:hAnsi="黑体" w:eastAsia="黑体" w:cs="黑体"/>
          <w:b w:val="0"/>
          <w:color w:val="auto"/>
          <w:sz w:val="32"/>
          <w:szCs w:val="32"/>
          <w:highlight w:val="none"/>
        </w:rPr>
        <w:t>.</w:t>
      </w:r>
      <w:r>
        <w:rPr>
          <w:rStyle w:val="17"/>
          <w:rFonts w:hint="eastAsia" w:ascii="黑体" w:hAnsi="黑体" w:eastAsia="黑体" w:cs="黑体"/>
          <w:b w:val="0"/>
          <w:color w:val="auto"/>
          <w:sz w:val="32"/>
          <w:szCs w:val="32"/>
          <w:highlight w:val="none"/>
        </w:rPr>
        <w:fldChar w:fldCharType="begin"/>
      </w:r>
      <w:r>
        <w:rPr>
          <w:rStyle w:val="17"/>
          <w:rFonts w:hint="eastAsia" w:ascii="黑体" w:hAnsi="黑体" w:eastAsia="黑体" w:cs="黑体"/>
          <w:b w:val="0"/>
          <w:color w:val="auto"/>
          <w:sz w:val="32"/>
          <w:szCs w:val="32"/>
          <w:highlight w:val="none"/>
        </w:rPr>
        <w:instrText xml:space="preserve"> </w:instrText>
      </w:r>
      <w:r>
        <w:rPr>
          <w:rFonts w:hint="eastAsia" w:ascii="黑体" w:hAnsi="黑体" w:eastAsia="黑体" w:cs="黑体"/>
          <w:b w:val="0"/>
          <w:color w:val="auto"/>
          <w:sz w:val="32"/>
          <w:szCs w:val="32"/>
          <w:highlight w:val="none"/>
        </w:rPr>
        <w:instrText xml:space="preserve">HYPERLINK \l "_Toc70512139"</w:instrText>
      </w:r>
      <w:r>
        <w:rPr>
          <w:rStyle w:val="17"/>
          <w:rFonts w:hint="eastAsia" w:ascii="黑体" w:hAnsi="黑体" w:eastAsia="黑体" w:cs="黑体"/>
          <w:b w:val="0"/>
          <w:color w:val="auto"/>
          <w:sz w:val="32"/>
          <w:szCs w:val="32"/>
          <w:highlight w:val="none"/>
        </w:rPr>
        <w:instrText xml:space="preserve"> </w:instrText>
      </w:r>
      <w:r>
        <w:rPr>
          <w:rStyle w:val="17"/>
          <w:rFonts w:hint="eastAsia" w:ascii="黑体" w:hAnsi="黑体" w:eastAsia="黑体" w:cs="黑体"/>
          <w:b w:val="0"/>
          <w:color w:val="auto"/>
          <w:sz w:val="32"/>
          <w:szCs w:val="32"/>
          <w:highlight w:val="none"/>
        </w:rPr>
        <w:fldChar w:fldCharType="separate"/>
      </w:r>
      <w:r>
        <w:rPr>
          <w:rStyle w:val="17"/>
          <w:rFonts w:hint="eastAsia" w:ascii="黑体" w:hAnsi="黑体" w:eastAsia="黑体" w:cs="黑体"/>
          <w:b w:val="0"/>
          <w:color w:val="auto"/>
          <w:sz w:val="32"/>
          <w:szCs w:val="32"/>
          <w:highlight w:val="none"/>
        </w:rPr>
        <w:t>第</w:t>
      </w:r>
      <w:r>
        <w:rPr>
          <w:rStyle w:val="17"/>
          <w:rFonts w:hint="eastAsia" w:ascii="黑体" w:hAnsi="黑体" w:eastAsia="黑体" w:cs="黑体"/>
          <w:b w:val="0"/>
          <w:color w:val="auto"/>
          <w:sz w:val="32"/>
          <w:szCs w:val="32"/>
          <w:highlight w:val="none"/>
          <w:lang w:eastAsia="zh-CN"/>
        </w:rPr>
        <w:t>四</w:t>
      </w:r>
      <w:r>
        <w:rPr>
          <w:rStyle w:val="17"/>
          <w:rFonts w:hint="eastAsia" w:ascii="黑体" w:hAnsi="黑体" w:eastAsia="黑体" w:cs="黑体"/>
          <w:b w:val="0"/>
          <w:color w:val="auto"/>
          <w:sz w:val="32"/>
          <w:szCs w:val="32"/>
          <w:highlight w:val="none"/>
        </w:rPr>
        <w:t>编 评审办法</w:t>
      </w:r>
      <w:r>
        <w:rPr>
          <w:color w:val="auto"/>
          <w:highlight w:val="none"/>
        </w:rPr>
        <w:tab/>
      </w:r>
      <w:r>
        <w:rPr>
          <w:rFonts w:hint="eastAsia" w:ascii="黑体" w:hAnsi="黑体" w:eastAsia="黑体" w:cs="黑体"/>
          <w:b w:val="0"/>
          <w:color w:val="auto"/>
          <w:sz w:val="32"/>
          <w:szCs w:val="32"/>
          <w:highlight w:val="none"/>
        </w:rPr>
        <w:fldChar w:fldCharType="begin"/>
      </w:r>
      <w:r>
        <w:rPr>
          <w:rFonts w:hint="eastAsia" w:ascii="黑体" w:hAnsi="黑体" w:eastAsia="黑体" w:cs="黑体"/>
          <w:b w:val="0"/>
          <w:color w:val="auto"/>
          <w:sz w:val="32"/>
          <w:szCs w:val="32"/>
          <w:highlight w:val="none"/>
        </w:rPr>
        <w:instrText xml:space="preserve"> PAGEREF _Toc70512139 \h </w:instrText>
      </w:r>
      <w:r>
        <w:rPr>
          <w:rFonts w:hint="eastAsia" w:ascii="黑体" w:hAnsi="黑体" w:eastAsia="黑体" w:cs="黑体"/>
          <w:b w:val="0"/>
          <w:color w:val="auto"/>
          <w:sz w:val="32"/>
          <w:szCs w:val="32"/>
          <w:highlight w:val="none"/>
        </w:rPr>
        <w:fldChar w:fldCharType="separate"/>
      </w:r>
      <w:r>
        <w:rPr>
          <w:rFonts w:hint="eastAsia" w:ascii="黑体" w:hAnsi="黑体" w:eastAsia="黑体" w:cs="黑体"/>
          <w:b w:val="0"/>
          <w:color w:val="auto"/>
          <w:sz w:val="32"/>
          <w:szCs w:val="32"/>
          <w:highlight w:val="none"/>
        </w:rPr>
        <w:t>1</w:t>
      </w:r>
      <w:r>
        <w:rPr>
          <w:rFonts w:hint="eastAsia" w:ascii="黑体" w:hAnsi="黑体" w:eastAsia="黑体" w:cs="黑体"/>
          <w:b w:val="0"/>
          <w:color w:val="auto"/>
          <w:sz w:val="32"/>
          <w:szCs w:val="32"/>
          <w:highlight w:val="none"/>
          <w:lang w:val="en-US" w:eastAsia="zh-CN"/>
        </w:rPr>
        <w:t>7</w:t>
      </w:r>
      <w:r>
        <w:rPr>
          <w:rFonts w:hint="eastAsia" w:ascii="黑体" w:hAnsi="黑体" w:eastAsia="黑体" w:cs="黑体"/>
          <w:b w:val="0"/>
          <w:color w:val="auto"/>
          <w:sz w:val="32"/>
          <w:szCs w:val="32"/>
          <w:highlight w:val="none"/>
        </w:rPr>
        <w:fldChar w:fldCharType="end"/>
      </w:r>
      <w:r>
        <w:rPr>
          <w:rStyle w:val="17"/>
          <w:rFonts w:hint="eastAsia" w:ascii="黑体" w:hAnsi="黑体" w:eastAsia="黑体" w:cs="黑体"/>
          <w:b w:val="0"/>
          <w:color w:val="auto"/>
          <w:sz w:val="32"/>
          <w:szCs w:val="32"/>
          <w:highlight w:val="none"/>
        </w:rPr>
        <w:fldChar w:fldCharType="end"/>
      </w:r>
      <w:bookmarkStart w:id="41" w:name="_GoBack"/>
      <w:bookmarkEnd w:id="41"/>
    </w:p>
    <w:p>
      <w:pPr>
        <w:pStyle w:val="11"/>
        <w:tabs>
          <w:tab w:val="right" w:leader="dot" w:pos="8832"/>
        </w:tabs>
        <w:ind w:left="0" w:leftChars="0" w:right="210"/>
        <w:rPr>
          <w:rFonts w:hint="eastAsia" w:ascii="黑体" w:hAnsi="黑体" w:eastAsia="黑体" w:cs="黑体"/>
          <w:b w:val="0"/>
          <w:color w:val="auto"/>
          <w:sz w:val="32"/>
          <w:szCs w:val="32"/>
          <w:highlight w:val="none"/>
        </w:rPr>
      </w:pPr>
    </w:p>
    <w:p>
      <w:pPr>
        <w:pStyle w:val="10"/>
        <w:snapToGrid w:val="0"/>
        <w:spacing w:line="360" w:lineRule="auto"/>
        <w:ind w:left="210" w:right="210" w:firstLine="240"/>
        <w:rPr>
          <w:rFonts w:hint="eastAsia" w:ascii="黑体" w:eastAsia="黑体"/>
          <w:b w:val="0"/>
          <w:bCs w:val="0"/>
          <w:color w:val="auto"/>
          <w:sz w:val="32"/>
          <w:szCs w:val="32"/>
          <w:highlight w:val="none"/>
        </w:rPr>
      </w:pPr>
      <w:r>
        <w:rPr>
          <w:rFonts w:hint="eastAsia" w:ascii="黑体" w:hAnsi="黑体" w:eastAsia="黑体" w:cs="黑体"/>
          <w:b w:val="0"/>
          <w:bCs w:val="0"/>
          <w:color w:val="auto"/>
          <w:sz w:val="32"/>
          <w:szCs w:val="32"/>
          <w:highlight w:val="none"/>
        </w:rPr>
        <w:fldChar w:fldCharType="end"/>
      </w:r>
    </w:p>
    <w:p>
      <w:pPr>
        <w:pStyle w:val="10"/>
        <w:snapToGrid w:val="0"/>
        <w:spacing w:line="360" w:lineRule="auto"/>
        <w:ind w:left="210" w:right="210" w:firstLine="151"/>
        <w:rPr>
          <w:rFonts w:hint="eastAsia"/>
          <w:color w:val="auto"/>
          <w:highlight w:val="none"/>
        </w:rPr>
      </w:pPr>
    </w:p>
    <w:p>
      <w:pPr>
        <w:snapToGrid w:val="0"/>
        <w:spacing w:line="360" w:lineRule="auto"/>
        <w:rPr>
          <w:rFonts w:hint="eastAsia" w:ascii="宋体"/>
          <w:color w:val="auto"/>
          <w:sz w:val="24"/>
          <w:highlight w:val="none"/>
        </w:rPr>
      </w:pPr>
    </w:p>
    <w:p>
      <w:pPr>
        <w:snapToGrid w:val="0"/>
        <w:spacing w:line="360" w:lineRule="auto"/>
        <w:rPr>
          <w:rFonts w:hint="eastAsia" w:ascii="宋体"/>
          <w:color w:val="auto"/>
          <w:highlight w:val="none"/>
        </w:rPr>
      </w:pPr>
    </w:p>
    <w:p>
      <w:pPr>
        <w:snapToGrid w:val="0"/>
        <w:spacing w:line="360" w:lineRule="auto"/>
        <w:rPr>
          <w:rFonts w:hint="eastAsia" w:ascii="宋体"/>
          <w:color w:val="auto"/>
          <w:highlight w:val="none"/>
        </w:rPr>
      </w:pPr>
      <w:bookmarkStart w:id="0" w:name="_Hlt70908415"/>
      <w:bookmarkEnd w:id="0"/>
      <w:bookmarkStart w:id="1" w:name="_Hlt71009486"/>
      <w:bookmarkEnd w:id="1"/>
      <w:bookmarkStart w:id="2" w:name="_Hlt71009488"/>
      <w:bookmarkEnd w:id="2"/>
      <w:bookmarkStart w:id="3" w:name="_Hlt71009720"/>
      <w:bookmarkEnd w:id="3"/>
      <w:bookmarkStart w:id="4" w:name="_Hlt71009718"/>
      <w:bookmarkEnd w:id="4"/>
      <w:bookmarkStart w:id="5" w:name="_Hlt71009395"/>
      <w:bookmarkEnd w:id="5"/>
      <w:bookmarkStart w:id="6" w:name="_Hlt71009484"/>
      <w:bookmarkEnd w:id="6"/>
      <w:bookmarkStart w:id="7" w:name="_Hlt71013015"/>
      <w:bookmarkEnd w:id="7"/>
    </w:p>
    <w:p>
      <w:pPr>
        <w:snapToGrid w:val="0"/>
        <w:spacing w:line="360" w:lineRule="auto"/>
        <w:rPr>
          <w:rFonts w:hint="eastAsia" w:ascii="宋体"/>
          <w:color w:val="auto"/>
          <w:highlight w:val="none"/>
        </w:rPr>
      </w:pPr>
    </w:p>
    <w:p>
      <w:pPr>
        <w:snapToGrid w:val="0"/>
        <w:spacing w:line="360" w:lineRule="auto"/>
        <w:rPr>
          <w:rFonts w:hint="eastAsia" w:ascii="宋体"/>
          <w:color w:val="auto"/>
          <w:highlight w:val="none"/>
        </w:rPr>
      </w:pPr>
    </w:p>
    <w:p>
      <w:pPr>
        <w:snapToGrid w:val="0"/>
        <w:spacing w:line="360" w:lineRule="auto"/>
        <w:rPr>
          <w:rFonts w:hint="eastAsia" w:ascii="宋体"/>
          <w:color w:val="auto"/>
          <w:highlight w:val="none"/>
        </w:rPr>
      </w:pPr>
    </w:p>
    <w:p>
      <w:pPr>
        <w:snapToGrid w:val="0"/>
        <w:spacing w:line="360" w:lineRule="auto"/>
        <w:rPr>
          <w:rFonts w:hint="eastAsia" w:ascii="宋体"/>
          <w:color w:val="auto"/>
          <w:highlight w:val="none"/>
        </w:rPr>
      </w:pPr>
    </w:p>
    <w:p>
      <w:pPr>
        <w:snapToGrid w:val="0"/>
        <w:spacing w:line="360" w:lineRule="auto"/>
        <w:rPr>
          <w:rFonts w:hint="eastAsia" w:ascii="宋体"/>
          <w:color w:val="auto"/>
          <w:highlight w:val="none"/>
        </w:rPr>
      </w:pPr>
    </w:p>
    <w:p>
      <w:pPr>
        <w:snapToGrid w:val="0"/>
        <w:spacing w:line="360" w:lineRule="auto"/>
        <w:rPr>
          <w:rFonts w:hint="eastAsia" w:ascii="宋体"/>
          <w:color w:val="auto"/>
          <w:highlight w:val="none"/>
        </w:rPr>
      </w:pPr>
    </w:p>
    <w:p>
      <w:pPr>
        <w:snapToGrid w:val="0"/>
        <w:spacing w:line="360" w:lineRule="auto"/>
        <w:rPr>
          <w:rFonts w:hint="eastAsia" w:ascii="宋体"/>
          <w:color w:val="auto"/>
          <w:highlight w:val="none"/>
        </w:rPr>
      </w:pPr>
    </w:p>
    <w:p>
      <w:pPr>
        <w:snapToGrid w:val="0"/>
        <w:spacing w:line="360" w:lineRule="auto"/>
        <w:rPr>
          <w:rFonts w:hint="eastAsia" w:ascii="宋体"/>
          <w:color w:val="auto"/>
          <w:highlight w:val="none"/>
        </w:rPr>
      </w:pPr>
    </w:p>
    <w:p>
      <w:pPr>
        <w:snapToGrid w:val="0"/>
        <w:spacing w:line="360" w:lineRule="auto"/>
        <w:rPr>
          <w:rFonts w:hint="eastAsia" w:ascii="宋体"/>
          <w:color w:val="auto"/>
          <w:highlight w:val="none"/>
        </w:rPr>
      </w:pPr>
    </w:p>
    <w:p>
      <w:pPr>
        <w:snapToGrid w:val="0"/>
        <w:spacing w:line="360" w:lineRule="auto"/>
        <w:rPr>
          <w:rFonts w:hint="eastAsia" w:ascii="宋体"/>
          <w:color w:val="auto"/>
          <w:highlight w:val="none"/>
        </w:rPr>
      </w:pPr>
    </w:p>
    <w:p>
      <w:pPr>
        <w:snapToGrid w:val="0"/>
        <w:spacing w:line="360" w:lineRule="auto"/>
        <w:rPr>
          <w:rFonts w:hint="eastAsia" w:ascii="宋体"/>
          <w:color w:val="auto"/>
          <w:highlight w:val="none"/>
        </w:rPr>
      </w:pPr>
    </w:p>
    <w:p>
      <w:pPr>
        <w:snapToGrid w:val="0"/>
        <w:spacing w:line="360" w:lineRule="auto"/>
        <w:rPr>
          <w:rFonts w:hint="eastAsia" w:ascii="宋体"/>
          <w:color w:val="auto"/>
          <w:highlight w:val="none"/>
        </w:rPr>
      </w:pPr>
    </w:p>
    <w:p>
      <w:pPr>
        <w:snapToGrid w:val="0"/>
        <w:spacing w:line="360" w:lineRule="auto"/>
        <w:rPr>
          <w:rFonts w:hint="eastAsia" w:ascii="宋体"/>
          <w:color w:val="auto"/>
          <w:highlight w:val="none"/>
        </w:rPr>
      </w:pPr>
    </w:p>
    <w:p>
      <w:pPr>
        <w:tabs>
          <w:tab w:val="left" w:pos="1402"/>
        </w:tabs>
        <w:snapToGrid w:val="0"/>
        <w:spacing w:line="360" w:lineRule="auto"/>
        <w:rPr>
          <w:rFonts w:hint="eastAsia" w:ascii="宋体"/>
          <w:color w:val="auto"/>
          <w:highlight w:val="none"/>
        </w:rPr>
      </w:pPr>
      <w:r>
        <w:rPr>
          <w:rFonts w:ascii="宋体"/>
          <w:color w:val="auto"/>
          <w:highlight w:val="none"/>
        </w:rPr>
        <w:tab/>
      </w:r>
    </w:p>
    <w:p>
      <w:pPr>
        <w:snapToGrid w:val="0"/>
        <w:spacing w:line="360" w:lineRule="auto"/>
        <w:rPr>
          <w:rFonts w:hint="eastAsia" w:ascii="宋体"/>
          <w:color w:val="auto"/>
          <w:highlight w:val="none"/>
        </w:rPr>
      </w:pPr>
    </w:p>
    <w:p>
      <w:pPr>
        <w:snapToGrid w:val="0"/>
        <w:spacing w:line="360" w:lineRule="auto"/>
        <w:rPr>
          <w:rFonts w:hint="eastAsia" w:ascii="宋体"/>
          <w:color w:val="auto"/>
          <w:highlight w:val="none"/>
        </w:rPr>
      </w:pPr>
    </w:p>
    <w:p>
      <w:pPr>
        <w:snapToGrid w:val="0"/>
        <w:spacing w:line="360" w:lineRule="auto"/>
        <w:rPr>
          <w:rFonts w:hint="eastAsia" w:ascii="宋体"/>
          <w:color w:val="auto"/>
          <w:highlight w:val="none"/>
        </w:rPr>
      </w:pPr>
    </w:p>
    <w:p>
      <w:pPr>
        <w:snapToGrid w:val="0"/>
        <w:spacing w:line="360" w:lineRule="auto"/>
        <w:rPr>
          <w:rFonts w:hint="eastAsia" w:ascii="宋体"/>
          <w:color w:val="auto"/>
          <w:highlight w:val="none"/>
        </w:rPr>
      </w:pPr>
    </w:p>
    <w:p>
      <w:pPr>
        <w:pStyle w:val="3"/>
        <w:snapToGrid w:val="0"/>
        <w:spacing w:before="0" w:after="0" w:line="580" w:lineRule="exact"/>
        <w:jc w:val="center"/>
        <w:rPr>
          <w:rFonts w:hint="eastAsia" w:ascii="方正小标宋简体" w:hAnsi="方正小标宋简体" w:eastAsia="方正小标宋简体" w:cs="方正小标宋简体"/>
          <w:b w:val="0"/>
          <w:bCs/>
          <w:color w:val="auto"/>
          <w:sz w:val="44"/>
          <w:szCs w:val="44"/>
          <w:highlight w:val="none"/>
        </w:rPr>
        <w:sectPr>
          <w:footerReference r:id="rId4" w:type="default"/>
          <w:pgSz w:w="11906" w:h="16838"/>
          <w:pgMar w:top="1418" w:right="1646" w:bottom="1247" w:left="1418" w:header="851" w:footer="794" w:gutter="0"/>
          <w:pgNumType w:start="1"/>
          <w:cols w:space="720" w:num="1"/>
          <w:docGrid w:type="lines" w:linePitch="312" w:charSpace="0"/>
        </w:sectPr>
      </w:pPr>
      <w:bookmarkStart w:id="8" w:name="_Toc70512137"/>
    </w:p>
    <w:p>
      <w:pPr>
        <w:pStyle w:val="3"/>
        <w:keepLines w:val="0"/>
        <w:pageBreakBefore w:val="0"/>
        <w:kinsoku/>
        <w:wordWrap/>
        <w:overflowPunct/>
        <w:topLinePunct w:val="0"/>
        <w:autoSpaceDE/>
        <w:autoSpaceDN/>
        <w:bidi w:val="0"/>
        <w:snapToGrid w:val="0"/>
        <w:spacing w:before="0" w:after="0" w:line="560" w:lineRule="exact"/>
        <w:jc w:val="center"/>
        <w:textAlignment w:val="auto"/>
        <w:rPr>
          <w:rFonts w:hint="eastAsia" w:ascii="方正小标宋简体" w:hAnsi="方正小标宋简体" w:eastAsia="方正小标宋简体" w:cs="方正小标宋简体"/>
          <w:b w:val="0"/>
          <w:bCs/>
          <w:color w:val="auto"/>
          <w:sz w:val="44"/>
          <w:szCs w:val="44"/>
          <w:highlight w:val="none"/>
          <w:lang w:eastAsia="zh-CN"/>
        </w:rPr>
      </w:pPr>
    </w:p>
    <w:p>
      <w:pPr>
        <w:pStyle w:val="3"/>
        <w:keepLines w:val="0"/>
        <w:pageBreakBefore w:val="0"/>
        <w:kinsoku/>
        <w:wordWrap/>
        <w:overflowPunct/>
        <w:topLinePunct w:val="0"/>
        <w:autoSpaceDE/>
        <w:autoSpaceDN/>
        <w:bidi w:val="0"/>
        <w:snapToGrid w:val="0"/>
        <w:spacing w:before="0" w:after="0" w:line="560" w:lineRule="exact"/>
        <w:jc w:val="center"/>
        <w:textAlignment w:val="auto"/>
        <w:rPr>
          <w:rFonts w:hint="eastAsia" w:ascii="仿宋_GB2312" w:hAnsi="仿宋_GB2312" w:eastAsia="方正小标宋简体" w:cs="仿宋_GB2312"/>
          <w:b w:val="0"/>
          <w:bCs/>
          <w:color w:val="auto"/>
          <w:szCs w:val="32"/>
          <w:highlight w:val="none"/>
          <w:lang w:eastAsia="zh-CN"/>
        </w:rPr>
      </w:pPr>
      <w:r>
        <w:rPr>
          <w:rFonts w:hint="eastAsia" w:ascii="方正小标宋简体" w:hAnsi="方正小标宋简体" w:eastAsia="方正小标宋简体" w:cs="方正小标宋简体"/>
          <w:b w:val="0"/>
          <w:bCs/>
          <w:color w:val="auto"/>
          <w:sz w:val="44"/>
          <w:szCs w:val="44"/>
          <w:highlight w:val="none"/>
          <w:lang w:eastAsia="zh-CN"/>
        </w:rPr>
        <w:t>第一编</w:t>
      </w:r>
      <w:r>
        <w:rPr>
          <w:rFonts w:hint="eastAsia" w:ascii="方正小标宋简体" w:hAnsi="方正小标宋简体" w:eastAsia="方正小标宋简体" w:cs="方正小标宋简体"/>
          <w:b w:val="0"/>
          <w:bCs/>
          <w:color w:val="auto"/>
          <w:sz w:val="44"/>
          <w:szCs w:val="44"/>
          <w:highlight w:val="none"/>
          <w:lang w:val="en-US" w:eastAsia="zh-CN"/>
        </w:rPr>
        <w:t xml:space="preserve"> </w:t>
      </w:r>
      <w:r>
        <w:rPr>
          <w:rFonts w:hint="eastAsia" w:ascii="方正小标宋简体" w:hAnsi="方正小标宋简体" w:eastAsia="方正小标宋简体" w:cs="方正小标宋简体"/>
          <w:b w:val="0"/>
          <w:bCs/>
          <w:color w:val="auto"/>
          <w:sz w:val="44"/>
          <w:szCs w:val="44"/>
          <w:highlight w:val="none"/>
        </w:rPr>
        <w:t>采购</w:t>
      </w:r>
      <w:bookmarkEnd w:id="8"/>
      <w:r>
        <w:rPr>
          <w:rFonts w:hint="eastAsia" w:ascii="方正小标宋简体" w:hAnsi="方正小标宋简体" w:eastAsia="方正小标宋简体" w:cs="方正小标宋简体"/>
          <w:b w:val="0"/>
          <w:bCs/>
          <w:color w:val="auto"/>
          <w:sz w:val="44"/>
          <w:szCs w:val="44"/>
          <w:highlight w:val="none"/>
          <w:lang w:eastAsia="zh-CN"/>
        </w:rPr>
        <w:t>邀请书</w:t>
      </w:r>
    </w:p>
    <w:p>
      <w:pPr>
        <w:keepLines w:val="0"/>
        <w:pageBreakBefore w:val="0"/>
        <w:kinsoku/>
        <w:wordWrap/>
        <w:overflowPunct/>
        <w:topLinePunct w:val="0"/>
        <w:autoSpaceDE/>
        <w:autoSpaceDN/>
        <w:bidi w:val="0"/>
        <w:snapToGrid w:val="0"/>
        <w:spacing w:line="560" w:lineRule="exact"/>
        <w:textAlignment w:val="auto"/>
        <w:rPr>
          <w:rFonts w:hint="eastAsia" w:ascii="仿宋_GB2312" w:hAnsi="仿宋_GB2312" w:eastAsia="仿宋_GB2312" w:cs="仿宋_GB2312"/>
          <w:color w:val="auto"/>
          <w:sz w:val="32"/>
          <w:szCs w:val="32"/>
          <w:highlight w:val="none"/>
          <w:u w:val="single"/>
        </w:rPr>
      </w:pPr>
    </w:p>
    <w:p>
      <w:pPr>
        <w:keepLines w:val="0"/>
        <w:pageBreakBefore w:val="0"/>
        <w:kinsoku/>
        <w:wordWrap/>
        <w:overflowPunct/>
        <w:topLinePunct w:val="0"/>
        <w:autoSpaceDE/>
        <w:autoSpaceDN/>
        <w:bidi w:val="0"/>
        <w:snapToGrid w:val="0"/>
        <w:spacing w:line="560" w:lineRule="exact"/>
        <w:textAlignment w:val="auto"/>
        <w:rPr>
          <w:rFonts w:hint="eastAsia" w:ascii="仿宋_GB2312" w:hAnsi="仿宋_GB2312" w:eastAsia="仿宋_GB2312" w:cs="仿宋_GB2312"/>
          <w:color w:val="auto"/>
          <w:sz w:val="32"/>
          <w:szCs w:val="32"/>
          <w:highlight w:val="none"/>
          <w:u w:val="single"/>
        </w:rPr>
      </w:pPr>
      <w:r>
        <w:rPr>
          <w:rFonts w:hint="eastAsia" w:ascii="仿宋_GB2312" w:hAnsi="仿宋_GB2312" w:eastAsia="仿宋_GB2312" w:cs="仿宋_GB2312"/>
          <w:color w:val="auto"/>
          <w:sz w:val="32"/>
          <w:szCs w:val="32"/>
          <w:highlight w:val="none"/>
          <w:u w:val="single"/>
        </w:rPr>
        <w:t xml:space="preserve">                   </w:t>
      </w:r>
      <w:r>
        <w:rPr>
          <w:rFonts w:hint="eastAsia" w:ascii="仿宋_GB2312" w:hAnsi="仿宋_GB2312" w:eastAsia="仿宋_GB2312" w:cs="仿宋_GB2312"/>
          <w:color w:val="auto"/>
          <w:sz w:val="32"/>
          <w:szCs w:val="32"/>
          <w:highlight w:val="none"/>
        </w:rPr>
        <w:t xml:space="preserve"> ：</w:t>
      </w:r>
    </w:p>
    <w:p>
      <w:pPr>
        <w:keepLines w:val="0"/>
        <w:pageBreakBefore w:val="0"/>
        <w:widowControl/>
        <w:kinsoku/>
        <w:wordWrap/>
        <w:overflowPunct/>
        <w:topLinePunct w:val="0"/>
        <w:autoSpaceDE/>
        <w:autoSpaceDN/>
        <w:bidi w:val="0"/>
        <w:snapToGrid w:val="0"/>
        <w:spacing w:line="560" w:lineRule="exact"/>
        <w:ind w:firstLine="800" w:firstLineChars="250"/>
        <w:jc w:val="left"/>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highlight w:val="none"/>
        </w:rPr>
        <w:t>广州市自来水工程有限公司（以下简称“公司”）拟采取</w:t>
      </w:r>
      <w:r>
        <w:rPr>
          <w:rFonts w:hint="eastAsia" w:ascii="仿宋_GB2312" w:hAnsi="仿宋_GB2312" w:eastAsia="仿宋_GB2312" w:cs="仿宋_GB2312"/>
          <w:color w:val="auto"/>
          <w:kern w:val="0"/>
          <w:sz w:val="32"/>
          <w:szCs w:val="32"/>
          <w:highlight w:val="none"/>
          <w:lang w:eastAsia="zh-CN"/>
        </w:rPr>
        <w:t>竞价</w:t>
      </w:r>
      <w:r>
        <w:rPr>
          <w:rFonts w:hint="eastAsia" w:ascii="仿宋_GB2312" w:hAnsi="仿宋_GB2312" w:eastAsia="仿宋_GB2312" w:cs="仿宋_GB2312"/>
          <w:color w:val="auto"/>
          <w:kern w:val="0"/>
          <w:sz w:val="32"/>
          <w:szCs w:val="32"/>
          <w:highlight w:val="none"/>
        </w:rPr>
        <w:t>采购方式选聘合规管理体系建设及风险、内控、合规三体系整合建设咨询服务单位，特邀请贵单位参加。现将有关事项告知如下</w:t>
      </w:r>
      <w:r>
        <w:rPr>
          <w:rFonts w:hint="eastAsia" w:ascii="仿宋_GB2312" w:hAnsi="仿宋_GB2312" w:eastAsia="仿宋_GB2312" w:cs="仿宋_GB2312"/>
          <w:color w:val="auto"/>
          <w:kern w:val="0"/>
          <w:sz w:val="32"/>
          <w:szCs w:val="32"/>
          <w:highlight w:val="none"/>
          <w:lang w:eastAsia="zh-CN"/>
        </w:rPr>
        <w:t>：</w:t>
      </w:r>
    </w:p>
    <w:p>
      <w:pPr>
        <w:keepLines w:val="0"/>
        <w:pageBreakBefore w:val="0"/>
        <w:widowControl/>
        <w:kinsoku/>
        <w:wordWrap/>
        <w:overflowPunct/>
        <w:topLinePunct w:val="0"/>
        <w:autoSpaceDE/>
        <w:autoSpaceDN/>
        <w:bidi w:val="0"/>
        <w:snapToGrid w:val="0"/>
        <w:spacing w:line="560" w:lineRule="exact"/>
        <w:ind w:firstLine="640" w:firstLineChars="200"/>
        <w:jc w:val="left"/>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rPr>
        <w:t>一、项目名称</w:t>
      </w:r>
    </w:p>
    <w:p>
      <w:pPr>
        <w:keepLines w:val="0"/>
        <w:pageBreakBefore w:val="0"/>
        <w:widowControl/>
        <w:kinsoku/>
        <w:wordWrap/>
        <w:overflowPunct/>
        <w:topLinePunct w:val="0"/>
        <w:autoSpaceDE/>
        <w:autoSpaceDN/>
        <w:bidi w:val="0"/>
        <w:snapToGrid w:val="0"/>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广州市自来水工程有限公司合规管理体系建设及风险、内控、合规三体系整合建设咨询服务采购项目</w:t>
      </w:r>
    </w:p>
    <w:p>
      <w:pPr>
        <w:keepLines w:val="0"/>
        <w:pageBreakBefore w:val="0"/>
        <w:widowControl/>
        <w:kinsoku/>
        <w:wordWrap/>
        <w:overflowPunct/>
        <w:topLinePunct w:val="0"/>
        <w:autoSpaceDE/>
        <w:autoSpaceDN/>
        <w:bidi w:val="0"/>
        <w:snapToGrid w:val="0"/>
        <w:spacing w:line="560" w:lineRule="exact"/>
        <w:ind w:firstLine="640" w:firstLineChars="200"/>
        <w:jc w:val="left"/>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rPr>
        <w:t>二、时间安排</w:t>
      </w:r>
    </w:p>
    <w:p>
      <w:pPr>
        <w:keepLines w:val="0"/>
        <w:pageBreakBefore w:val="0"/>
        <w:widowControl/>
        <w:kinsoku/>
        <w:wordWrap/>
        <w:overflowPunct/>
        <w:topLinePunct w:val="0"/>
        <w:autoSpaceDE/>
        <w:autoSpaceDN/>
        <w:bidi w:val="0"/>
        <w:snapToGrid w:val="0"/>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1.响应人递交响应文件：2021年</w:t>
      </w:r>
      <w:r>
        <w:rPr>
          <w:rFonts w:hint="eastAsia" w:ascii="仿宋_GB2312" w:hAnsi="仿宋_GB2312" w:eastAsia="仿宋_GB2312" w:cs="仿宋_GB2312"/>
          <w:color w:val="auto"/>
          <w:kern w:val="0"/>
          <w:sz w:val="32"/>
          <w:szCs w:val="32"/>
          <w:highlight w:val="none"/>
          <w:lang w:val="en-US" w:eastAsia="zh-CN"/>
        </w:rPr>
        <w:t>9</w:t>
      </w:r>
      <w:r>
        <w:rPr>
          <w:rFonts w:hint="eastAsia" w:ascii="仿宋_GB2312" w:hAnsi="仿宋_GB2312" w:eastAsia="仿宋_GB2312" w:cs="仿宋_GB2312"/>
          <w:color w:val="auto"/>
          <w:kern w:val="0"/>
          <w:sz w:val="32"/>
          <w:szCs w:val="32"/>
          <w:highlight w:val="none"/>
        </w:rPr>
        <w:t>月</w:t>
      </w:r>
      <w:r>
        <w:rPr>
          <w:rFonts w:hint="eastAsia" w:ascii="仿宋_GB2312" w:hAnsi="仿宋_GB2312" w:eastAsia="仿宋_GB2312" w:cs="仿宋_GB2312"/>
          <w:color w:val="auto"/>
          <w:kern w:val="0"/>
          <w:sz w:val="32"/>
          <w:szCs w:val="32"/>
          <w:highlight w:val="none"/>
          <w:lang w:val="en-US" w:eastAsia="zh-CN"/>
        </w:rPr>
        <w:t>27</w:t>
      </w:r>
      <w:r>
        <w:rPr>
          <w:rFonts w:hint="eastAsia" w:ascii="仿宋_GB2312" w:hAnsi="仿宋_GB2312" w:eastAsia="仿宋_GB2312" w:cs="仿宋_GB2312"/>
          <w:color w:val="auto"/>
          <w:kern w:val="0"/>
          <w:sz w:val="32"/>
          <w:szCs w:val="32"/>
          <w:highlight w:val="none"/>
        </w:rPr>
        <w:t>日17:00前</w:t>
      </w:r>
      <w:r>
        <w:rPr>
          <w:rFonts w:hint="eastAsia" w:ascii="仿宋_GB2312" w:hAnsi="仿宋_GB2312" w:eastAsia="仿宋_GB2312" w:cs="仿宋_GB2312"/>
          <w:color w:val="auto"/>
          <w:kern w:val="0"/>
          <w:sz w:val="32"/>
          <w:szCs w:val="32"/>
          <w:highlight w:val="none"/>
          <w:lang w:eastAsia="zh-CN"/>
        </w:rPr>
        <w:t>递交至广州市自来水工程有限公司</w:t>
      </w:r>
      <w:r>
        <w:rPr>
          <w:rFonts w:hint="eastAsia" w:ascii="仿宋_GB2312" w:hAnsi="仿宋_GB2312" w:eastAsia="仿宋_GB2312" w:cs="仿宋_GB2312"/>
          <w:color w:val="auto"/>
          <w:kern w:val="0"/>
          <w:sz w:val="32"/>
          <w:szCs w:val="32"/>
          <w:highlight w:val="none"/>
        </w:rPr>
        <w:t>（响应人在截止时间之后递交的响应文件，不予接</w:t>
      </w:r>
      <w:r>
        <w:rPr>
          <w:rFonts w:hint="eastAsia" w:ascii="仿宋_GB2312" w:hAnsi="仿宋_GB2312" w:eastAsia="仿宋_GB2312" w:cs="仿宋_GB2312"/>
          <w:color w:val="auto"/>
          <w:kern w:val="0"/>
          <w:sz w:val="32"/>
          <w:szCs w:val="32"/>
          <w:highlight w:val="none"/>
          <w:lang w:eastAsia="zh-CN"/>
        </w:rPr>
        <w:t>收</w:t>
      </w:r>
      <w:r>
        <w:rPr>
          <w:rFonts w:hint="eastAsia" w:ascii="仿宋_GB2312" w:hAnsi="仿宋_GB2312" w:eastAsia="仿宋_GB2312" w:cs="仿宋_GB2312"/>
          <w:color w:val="auto"/>
          <w:kern w:val="0"/>
          <w:sz w:val="32"/>
          <w:szCs w:val="32"/>
          <w:highlight w:val="none"/>
        </w:rPr>
        <w:t>）。</w:t>
      </w:r>
    </w:p>
    <w:p>
      <w:pPr>
        <w:keepLines w:val="0"/>
        <w:pageBreakBefore w:val="0"/>
        <w:widowControl/>
        <w:kinsoku/>
        <w:wordWrap/>
        <w:overflowPunct/>
        <w:topLinePunct w:val="0"/>
        <w:autoSpaceDE/>
        <w:autoSpaceDN/>
        <w:bidi w:val="0"/>
        <w:snapToGrid w:val="0"/>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val="en-US" w:eastAsia="zh-CN"/>
        </w:rPr>
        <w:t>2</w:t>
      </w:r>
      <w:r>
        <w:rPr>
          <w:rFonts w:hint="eastAsia" w:ascii="仿宋_GB2312" w:hAnsi="仿宋_GB2312" w:eastAsia="仿宋_GB2312" w:cs="仿宋_GB2312"/>
          <w:color w:val="auto"/>
          <w:kern w:val="0"/>
          <w:sz w:val="32"/>
          <w:szCs w:val="32"/>
          <w:highlight w:val="none"/>
        </w:rPr>
        <w:t>.</w:t>
      </w:r>
      <w:r>
        <w:rPr>
          <w:rFonts w:hint="eastAsia" w:ascii="仿宋_GB2312" w:hAnsi="仿宋_GB2312" w:eastAsia="仿宋_GB2312" w:cs="仿宋_GB2312"/>
          <w:color w:val="auto"/>
          <w:kern w:val="0"/>
          <w:sz w:val="32"/>
          <w:szCs w:val="32"/>
          <w:highlight w:val="none"/>
          <w:lang w:eastAsia="zh-CN"/>
        </w:rPr>
        <w:t>评审</w:t>
      </w:r>
      <w:r>
        <w:rPr>
          <w:rFonts w:hint="eastAsia" w:ascii="仿宋_GB2312" w:hAnsi="仿宋_GB2312" w:eastAsia="仿宋_GB2312" w:cs="仿宋_GB2312"/>
          <w:color w:val="auto"/>
          <w:kern w:val="0"/>
          <w:sz w:val="32"/>
          <w:szCs w:val="32"/>
          <w:highlight w:val="none"/>
        </w:rPr>
        <w:t>：2021年</w:t>
      </w:r>
      <w:r>
        <w:rPr>
          <w:rFonts w:hint="eastAsia" w:ascii="仿宋_GB2312" w:hAnsi="仿宋_GB2312" w:eastAsia="仿宋_GB2312" w:cs="仿宋_GB2312"/>
          <w:color w:val="auto"/>
          <w:kern w:val="0"/>
          <w:sz w:val="32"/>
          <w:szCs w:val="32"/>
          <w:highlight w:val="none"/>
          <w:lang w:val="en-US" w:eastAsia="zh-CN"/>
        </w:rPr>
        <w:t>9</w:t>
      </w:r>
      <w:r>
        <w:rPr>
          <w:rFonts w:hint="eastAsia" w:ascii="仿宋_GB2312" w:hAnsi="仿宋_GB2312" w:eastAsia="仿宋_GB2312" w:cs="仿宋_GB2312"/>
          <w:color w:val="auto"/>
          <w:kern w:val="0"/>
          <w:sz w:val="32"/>
          <w:szCs w:val="32"/>
          <w:highlight w:val="none"/>
        </w:rPr>
        <w:t>月</w:t>
      </w:r>
      <w:r>
        <w:rPr>
          <w:rFonts w:hint="eastAsia" w:ascii="仿宋_GB2312" w:hAnsi="仿宋_GB2312" w:eastAsia="仿宋_GB2312" w:cs="仿宋_GB2312"/>
          <w:color w:val="auto"/>
          <w:kern w:val="0"/>
          <w:sz w:val="32"/>
          <w:szCs w:val="32"/>
          <w:highlight w:val="none"/>
          <w:lang w:val="en-US" w:eastAsia="zh-CN"/>
        </w:rPr>
        <w:t>28</w:t>
      </w:r>
      <w:r>
        <w:rPr>
          <w:rFonts w:hint="eastAsia" w:ascii="仿宋_GB2312" w:hAnsi="仿宋_GB2312" w:eastAsia="仿宋_GB2312" w:cs="仿宋_GB2312"/>
          <w:color w:val="auto"/>
          <w:kern w:val="0"/>
          <w:sz w:val="32"/>
          <w:szCs w:val="32"/>
          <w:highlight w:val="none"/>
        </w:rPr>
        <w:t>日</w:t>
      </w:r>
      <w:r>
        <w:rPr>
          <w:rFonts w:hint="eastAsia" w:ascii="仿宋_GB2312" w:hAnsi="仿宋_GB2312" w:eastAsia="仿宋_GB2312" w:cs="仿宋_GB2312"/>
          <w:color w:val="auto"/>
          <w:kern w:val="0"/>
          <w:sz w:val="32"/>
          <w:szCs w:val="32"/>
          <w:highlight w:val="none"/>
          <w:lang w:val="en-US" w:eastAsia="zh-CN"/>
        </w:rPr>
        <w:t>8</w:t>
      </w:r>
      <w:r>
        <w:rPr>
          <w:rFonts w:hint="eastAsia" w:ascii="仿宋_GB2312" w:hAnsi="仿宋_GB2312" w:eastAsia="仿宋_GB2312" w:cs="仿宋_GB2312"/>
          <w:color w:val="auto"/>
          <w:kern w:val="0"/>
          <w:sz w:val="32"/>
          <w:szCs w:val="32"/>
          <w:highlight w:val="none"/>
        </w:rPr>
        <w:t>:30-17:00（暂定）；地点：广州市自来水工程有限公司会议室。</w:t>
      </w:r>
    </w:p>
    <w:p>
      <w:pPr>
        <w:keepLines w:val="0"/>
        <w:pageBreakBefore w:val="0"/>
        <w:widowControl/>
        <w:kinsoku/>
        <w:wordWrap/>
        <w:overflowPunct/>
        <w:topLinePunct w:val="0"/>
        <w:autoSpaceDE/>
        <w:autoSpaceDN/>
        <w:bidi w:val="0"/>
        <w:snapToGrid w:val="0"/>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lang w:val="en-US" w:eastAsia="zh-CN"/>
        </w:rPr>
        <w:t>3</w:t>
      </w:r>
      <w:r>
        <w:rPr>
          <w:rFonts w:hint="eastAsia" w:ascii="仿宋_GB2312" w:hAnsi="仿宋_GB2312" w:eastAsia="仿宋_GB2312" w:cs="仿宋_GB2312"/>
          <w:color w:val="auto"/>
          <w:kern w:val="0"/>
          <w:sz w:val="32"/>
          <w:szCs w:val="32"/>
          <w:highlight w:val="none"/>
        </w:rPr>
        <w:t>.发出成交通知书：2021年</w:t>
      </w:r>
      <w:r>
        <w:rPr>
          <w:rFonts w:hint="eastAsia" w:ascii="仿宋_GB2312" w:hAnsi="仿宋_GB2312" w:eastAsia="仿宋_GB2312" w:cs="仿宋_GB2312"/>
          <w:color w:val="auto"/>
          <w:kern w:val="0"/>
          <w:sz w:val="32"/>
          <w:szCs w:val="32"/>
          <w:highlight w:val="none"/>
          <w:lang w:val="en-US" w:eastAsia="zh-CN"/>
        </w:rPr>
        <w:t>9</w:t>
      </w:r>
      <w:r>
        <w:rPr>
          <w:rFonts w:hint="eastAsia" w:ascii="仿宋_GB2312" w:hAnsi="仿宋_GB2312" w:eastAsia="仿宋_GB2312" w:cs="仿宋_GB2312"/>
          <w:color w:val="auto"/>
          <w:kern w:val="0"/>
          <w:sz w:val="32"/>
          <w:szCs w:val="32"/>
          <w:highlight w:val="none"/>
        </w:rPr>
        <w:t>月</w:t>
      </w:r>
      <w:r>
        <w:rPr>
          <w:rFonts w:hint="eastAsia" w:ascii="仿宋_GB2312" w:hAnsi="仿宋_GB2312" w:eastAsia="仿宋_GB2312" w:cs="仿宋_GB2312"/>
          <w:color w:val="auto"/>
          <w:kern w:val="0"/>
          <w:sz w:val="32"/>
          <w:szCs w:val="32"/>
          <w:highlight w:val="none"/>
          <w:lang w:val="en-US" w:eastAsia="zh-CN"/>
        </w:rPr>
        <w:t>30</w:t>
      </w:r>
      <w:r>
        <w:rPr>
          <w:rFonts w:hint="eastAsia" w:ascii="仿宋_GB2312" w:hAnsi="仿宋_GB2312" w:eastAsia="仿宋_GB2312" w:cs="仿宋_GB2312"/>
          <w:color w:val="auto"/>
          <w:kern w:val="0"/>
          <w:sz w:val="32"/>
          <w:szCs w:val="32"/>
          <w:highlight w:val="none"/>
        </w:rPr>
        <w:t>日之前</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b/>
          <w:bCs/>
          <w:color w:val="auto"/>
          <w:kern w:val="0"/>
          <w:sz w:val="32"/>
          <w:szCs w:val="32"/>
          <w:highlight w:val="none"/>
        </w:rPr>
        <w:t>不再另行通知未成交响应人</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w:t>
      </w:r>
    </w:p>
    <w:p>
      <w:pPr>
        <w:keepLines w:val="0"/>
        <w:pageBreakBefore w:val="0"/>
        <w:widowControl/>
        <w:kinsoku/>
        <w:wordWrap/>
        <w:overflowPunct/>
        <w:topLinePunct w:val="0"/>
        <w:autoSpaceDE/>
        <w:autoSpaceDN/>
        <w:bidi w:val="0"/>
        <w:snapToGrid w:val="0"/>
        <w:spacing w:line="560" w:lineRule="exact"/>
        <w:ind w:firstLine="640" w:firstLineChars="200"/>
        <w:jc w:val="left"/>
        <w:textAlignment w:val="auto"/>
        <w:rPr>
          <w:rFonts w:hint="eastAsia" w:ascii="黑体" w:hAnsi="黑体" w:eastAsia="黑体" w:cs="黑体"/>
          <w:bCs/>
          <w:color w:val="auto"/>
          <w:kern w:val="0"/>
          <w:sz w:val="32"/>
          <w:szCs w:val="32"/>
          <w:highlight w:val="none"/>
        </w:rPr>
      </w:pPr>
      <w:r>
        <w:rPr>
          <w:rFonts w:hint="eastAsia" w:ascii="黑体" w:hAnsi="黑体" w:eastAsia="黑体" w:cs="黑体"/>
          <w:bCs/>
          <w:color w:val="auto"/>
          <w:kern w:val="0"/>
          <w:sz w:val="32"/>
          <w:szCs w:val="32"/>
          <w:highlight w:val="none"/>
        </w:rPr>
        <w:t>三、联系方式</w:t>
      </w:r>
    </w:p>
    <w:p>
      <w:pPr>
        <w:keepLines w:val="0"/>
        <w:pageBreakBefore w:val="0"/>
        <w:widowControl/>
        <w:kinsoku/>
        <w:wordWrap/>
        <w:overflowPunct/>
        <w:topLinePunct w:val="0"/>
        <w:autoSpaceDE/>
        <w:autoSpaceDN/>
        <w:bidi w:val="0"/>
        <w:snapToGrid w:val="0"/>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lang w:eastAsia="zh-CN"/>
        </w:rPr>
      </w:pPr>
      <w:r>
        <w:rPr>
          <w:rFonts w:hint="eastAsia" w:ascii="仿宋_GB2312" w:hAnsi="仿宋_GB2312" w:eastAsia="仿宋_GB2312" w:cs="仿宋_GB2312"/>
          <w:color w:val="auto"/>
          <w:kern w:val="0"/>
          <w:sz w:val="32"/>
          <w:szCs w:val="32"/>
          <w:highlight w:val="none"/>
        </w:rPr>
        <w:t>1.联系人：周</w:t>
      </w:r>
      <w:r>
        <w:rPr>
          <w:rFonts w:hint="eastAsia" w:ascii="仿宋_GB2312" w:hAnsi="仿宋_GB2312" w:eastAsia="仿宋_GB2312" w:cs="仿宋_GB2312"/>
          <w:color w:val="auto"/>
          <w:kern w:val="0"/>
          <w:sz w:val="32"/>
          <w:szCs w:val="32"/>
          <w:highlight w:val="none"/>
          <w:lang w:eastAsia="zh-CN"/>
        </w:rPr>
        <w:t>小姐</w:t>
      </w:r>
    </w:p>
    <w:p>
      <w:pPr>
        <w:keepLines w:val="0"/>
        <w:pageBreakBefore w:val="0"/>
        <w:widowControl/>
        <w:kinsoku/>
        <w:wordWrap/>
        <w:overflowPunct/>
        <w:topLinePunct w:val="0"/>
        <w:autoSpaceDE/>
        <w:autoSpaceDN/>
        <w:bidi w:val="0"/>
        <w:snapToGrid w:val="0"/>
        <w:spacing w:line="560" w:lineRule="exact"/>
        <w:ind w:firstLine="640" w:firstLineChars="200"/>
        <w:jc w:val="left"/>
        <w:textAlignment w:val="auto"/>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 xml:space="preserve">2.联系电话：13501505487 </w:t>
      </w:r>
    </w:p>
    <w:p>
      <w:pPr>
        <w:pStyle w:val="2"/>
        <w:keepLines w:val="0"/>
        <w:pageBreakBefore w:val="0"/>
        <w:kinsoku/>
        <w:wordWrap/>
        <w:overflowPunct/>
        <w:topLinePunct w:val="0"/>
        <w:autoSpaceDE/>
        <w:autoSpaceDN/>
        <w:bidi w:val="0"/>
        <w:spacing w:after="0" w:line="560" w:lineRule="exact"/>
        <w:ind w:firstLine="640" w:firstLineChars="200"/>
        <w:textAlignment w:val="auto"/>
        <w:rPr>
          <w:rFonts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3.联系地址：广州市越秀区大沙头路三号</w:t>
      </w:r>
    </w:p>
    <w:p>
      <w:pPr>
        <w:keepLines w:val="0"/>
        <w:pageBreakBefore w:val="0"/>
        <w:widowControl/>
        <w:kinsoku/>
        <w:wordWrap/>
        <w:overflowPunct/>
        <w:topLinePunct w:val="0"/>
        <w:autoSpaceDE/>
        <w:autoSpaceDN/>
        <w:bidi w:val="0"/>
        <w:snapToGrid w:val="0"/>
        <w:spacing w:line="560" w:lineRule="exact"/>
        <w:ind w:firstLine="640" w:firstLineChars="200"/>
        <w:jc w:val="left"/>
        <w:textAlignment w:val="auto"/>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rPr>
        <w:t>四、其他说明</w:t>
      </w:r>
    </w:p>
    <w:p>
      <w:pPr>
        <w:keepLines w:val="0"/>
        <w:pageBreakBefore w:val="0"/>
        <w:widowControl/>
        <w:kinsoku/>
        <w:wordWrap/>
        <w:overflowPunct/>
        <w:topLinePunct w:val="0"/>
        <w:autoSpaceDE/>
        <w:autoSpaceDN/>
        <w:bidi w:val="0"/>
        <w:snapToGrid w:val="0"/>
        <w:spacing w:line="560" w:lineRule="exact"/>
        <w:ind w:firstLine="643" w:firstLineChars="200"/>
        <w:jc w:val="left"/>
        <w:textAlignment w:val="auto"/>
        <w:rPr>
          <w:rFonts w:hint="eastAsia" w:ascii="仿宋_GB2312" w:hAnsi="仿宋_GB2312" w:eastAsia="仿宋_GB2312" w:cs="仿宋_GB2312"/>
          <w:b/>
          <w:bCs w:val="0"/>
          <w:color w:val="auto"/>
          <w:kern w:val="0"/>
          <w:sz w:val="32"/>
          <w:szCs w:val="32"/>
          <w:highlight w:val="none"/>
        </w:rPr>
      </w:pPr>
      <w:r>
        <w:rPr>
          <w:rFonts w:hint="eastAsia" w:ascii="仿宋_GB2312" w:hAnsi="仿宋_GB2312" w:eastAsia="仿宋_GB2312" w:cs="仿宋_GB2312"/>
          <w:b/>
          <w:bCs w:val="0"/>
          <w:color w:val="auto"/>
          <w:kern w:val="0"/>
          <w:sz w:val="32"/>
          <w:szCs w:val="32"/>
          <w:highlight w:val="none"/>
        </w:rPr>
        <w:t>贵单位递交响应文件即表示已经完全理解和同意</w:t>
      </w:r>
      <w:r>
        <w:rPr>
          <w:rFonts w:hint="eastAsia" w:ascii="仿宋_GB2312" w:hAnsi="仿宋_GB2312" w:eastAsia="仿宋_GB2312" w:cs="仿宋_GB2312"/>
          <w:b/>
          <w:bCs w:val="0"/>
          <w:color w:val="auto"/>
          <w:kern w:val="0"/>
          <w:sz w:val="32"/>
          <w:szCs w:val="32"/>
          <w:highlight w:val="none"/>
          <w:lang w:eastAsia="zh-CN"/>
        </w:rPr>
        <w:t>本</w:t>
      </w:r>
      <w:r>
        <w:rPr>
          <w:rFonts w:hint="eastAsia" w:ascii="仿宋_GB2312" w:hAnsi="仿宋_GB2312" w:eastAsia="仿宋_GB2312" w:cs="仿宋_GB2312"/>
          <w:b/>
          <w:bCs w:val="0"/>
          <w:color w:val="auto"/>
          <w:kern w:val="0"/>
          <w:sz w:val="32"/>
          <w:szCs w:val="32"/>
          <w:highlight w:val="none"/>
        </w:rPr>
        <w:t>采购文件的全部内容（包括附件等文件），特别是加粗部分内容，并无任何误解或疑义。</w:t>
      </w:r>
    </w:p>
    <w:p>
      <w:pPr>
        <w:keepLines w:val="0"/>
        <w:pageBreakBefore w:val="0"/>
        <w:widowControl/>
        <w:kinsoku/>
        <w:wordWrap/>
        <w:overflowPunct/>
        <w:topLinePunct w:val="0"/>
        <w:autoSpaceDE/>
        <w:autoSpaceDN/>
        <w:bidi w:val="0"/>
        <w:snapToGrid w:val="0"/>
        <w:spacing w:line="560" w:lineRule="exact"/>
        <w:ind w:firstLine="643" w:firstLineChars="200"/>
        <w:jc w:val="left"/>
        <w:textAlignment w:val="auto"/>
        <w:rPr>
          <w:rFonts w:hint="eastAsia" w:ascii="仿宋_GB2312" w:hAnsi="仿宋_GB2312" w:eastAsia="仿宋_GB2312" w:cs="仿宋_GB2312"/>
          <w:b/>
          <w:bCs w:val="0"/>
          <w:color w:val="auto"/>
          <w:kern w:val="0"/>
          <w:sz w:val="32"/>
          <w:szCs w:val="32"/>
          <w:highlight w:val="none"/>
        </w:rPr>
      </w:pPr>
      <w:r>
        <w:rPr>
          <w:rFonts w:hint="eastAsia" w:ascii="仿宋_GB2312" w:hAnsi="仿宋_GB2312" w:eastAsia="仿宋_GB2312" w:cs="仿宋_GB2312"/>
          <w:b/>
          <w:bCs w:val="0"/>
          <w:color w:val="auto"/>
          <w:kern w:val="0"/>
          <w:sz w:val="32"/>
          <w:szCs w:val="32"/>
          <w:highlight w:val="none"/>
        </w:rPr>
        <w:t>广州市自来水工程有限公司对本次采购及相关文件资料拥有最终的解释权。</w:t>
      </w:r>
    </w:p>
    <w:p>
      <w:pPr>
        <w:pStyle w:val="2"/>
        <w:rPr>
          <w:rFonts w:hint="eastAsia" w:ascii="仿宋_GB2312" w:hAnsi="仿宋_GB2312" w:eastAsia="仿宋_GB2312" w:cs="仿宋_GB2312"/>
          <w:color w:val="auto"/>
          <w:kern w:val="0"/>
          <w:sz w:val="32"/>
          <w:szCs w:val="32"/>
          <w:highlight w:val="none"/>
        </w:rPr>
      </w:pPr>
    </w:p>
    <w:p>
      <w:pPr>
        <w:pStyle w:val="2"/>
        <w:rPr>
          <w:rFonts w:hint="eastAsia" w:ascii="仿宋_GB2312" w:hAnsi="仿宋_GB2312" w:eastAsia="仿宋_GB2312" w:cs="仿宋_GB2312"/>
          <w:color w:val="auto"/>
          <w:kern w:val="0"/>
          <w:sz w:val="32"/>
          <w:szCs w:val="32"/>
          <w:highlight w:val="none"/>
        </w:rPr>
      </w:pPr>
    </w:p>
    <w:p>
      <w:pPr>
        <w:pStyle w:val="2"/>
        <w:rPr>
          <w:rFonts w:hint="eastAsia" w:ascii="仿宋_GB2312" w:hAnsi="仿宋_GB2312" w:eastAsia="仿宋_GB2312" w:cs="仿宋_GB2312"/>
          <w:color w:val="auto"/>
          <w:kern w:val="0"/>
          <w:sz w:val="32"/>
          <w:szCs w:val="32"/>
          <w:highlight w:val="none"/>
        </w:rPr>
      </w:pPr>
    </w:p>
    <w:p>
      <w:pPr>
        <w:pStyle w:val="2"/>
        <w:rPr>
          <w:rFonts w:hint="eastAsia" w:ascii="仿宋_GB2312" w:hAnsi="仿宋_GB2312" w:eastAsia="仿宋_GB2312" w:cs="仿宋_GB2312"/>
          <w:color w:val="auto"/>
          <w:kern w:val="0"/>
          <w:sz w:val="32"/>
          <w:szCs w:val="32"/>
          <w:highlight w:val="none"/>
        </w:rPr>
      </w:pPr>
    </w:p>
    <w:p>
      <w:pPr>
        <w:pStyle w:val="2"/>
        <w:rPr>
          <w:rFonts w:hint="eastAsia" w:ascii="仿宋_GB2312" w:hAnsi="仿宋_GB2312" w:eastAsia="仿宋_GB2312" w:cs="仿宋_GB2312"/>
          <w:color w:val="auto"/>
          <w:kern w:val="0"/>
          <w:sz w:val="32"/>
          <w:szCs w:val="32"/>
          <w:highlight w:val="none"/>
        </w:rPr>
      </w:pPr>
    </w:p>
    <w:p>
      <w:pPr>
        <w:pStyle w:val="2"/>
        <w:rPr>
          <w:rFonts w:hint="eastAsia" w:ascii="仿宋_GB2312" w:hAnsi="仿宋_GB2312" w:eastAsia="仿宋_GB2312" w:cs="仿宋_GB2312"/>
          <w:color w:val="auto"/>
          <w:kern w:val="0"/>
          <w:sz w:val="32"/>
          <w:szCs w:val="32"/>
          <w:highlight w:val="none"/>
        </w:rPr>
      </w:pPr>
    </w:p>
    <w:p>
      <w:pPr>
        <w:pStyle w:val="2"/>
        <w:rPr>
          <w:rFonts w:hint="eastAsia" w:ascii="仿宋_GB2312" w:hAnsi="仿宋_GB2312" w:eastAsia="仿宋_GB2312" w:cs="仿宋_GB2312"/>
          <w:color w:val="auto"/>
          <w:kern w:val="0"/>
          <w:sz w:val="32"/>
          <w:szCs w:val="32"/>
          <w:highlight w:val="none"/>
        </w:rPr>
      </w:pPr>
    </w:p>
    <w:p>
      <w:pPr>
        <w:pStyle w:val="2"/>
        <w:rPr>
          <w:rFonts w:hint="eastAsia" w:ascii="仿宋_GB2312" w:hAnsi="仿宋_GB2312" w:eastAsia="仿宋_GB2312" w:cs="仿宋_GB2312"/>
          <w:color w:val="auto"/>
          <w:kern w:val="0"/>
          <w:sz w:val="32"/>
          <w:szCs w:val="32"/>
          <w:highlight w:val="none"/>
        </w:rPr>
      </w:pPr>
    </w:p>
    <w:p>
      <w:pPr>
        <w:pStyle w:val="2"/>
        <w:rPr>
          <w:rFonts w:hint="eastAsia" w:ascii="仿宋_GB2312" w:hAnsi="仿宋_GB2312" w:eastAsia="仿宋_GB2312" w:cs="仿宋_GB2312"/>
          <w:color w:val="auto"/>
          <w:kern w:val="0"/>
          <w:sz w:val="32"/>
          <w:szCs w:val="32"/>
          <w:highlight w:val="none"/>
        </w:rPr>
      </w:pPr>
    </w:p>
    <w:p>
      <w:pPr>
        <w:pStyle w:val="2"/>
        <w:rPr>
          <w:rFonts w:hint="eastAsia" w:ascii="仿宋_GB2312" w:hAnsi="仿宋_GB2312" w:eastAsia="仿宋_GB2312" w:cs="仿宋_GB2312"/>
          <w:color w:val="auto"/>
          <w:kern w:val="0"/>
          <w:sz w:val="32"/>
          <w:szCs w:val="32"/>
          <w:highlight w:val="none"/>
        </w:rPr>
      </w:pPr>
    </w:p>
    <w:p>
      <w:pPr>
        <w:pStyle w:val="2"/>
        <w:rPr>
          <w:rFonts w:hint="eastAsia" w:ascii="仿宋_GB2312" w:hAnsi="仿宋_GB2312" w:eastAsia="仿宋_GB2312" w:cs="仿宋_GB2312"/>
          <w:color w:val="auto"/>
          <w:kern w:val="0"/>
          <w:sz w:val="32"/>
          <w:szCs w:val="32"/>
          <w:highlight w:val="none"/>
        </w:rPr>
      </w:pPr>
    </w:p>
    <w:p>
      <w:pPr>
        <w:pStyle w:val="2"/>
        <w:rPr>
          <w:rFonts w:hint="eastAsia" w:ascii="仿宋_GB2312" w:hAnsi="仿宋_GB2312" w:eastAsia="仿宋_GB2312" w:cs="仿宋_GB2312"/>
          <w:color w:val="auto"/>
          <w:kern w:val="0"/>
          <w:sz w:val="32"/>
          <w:szCs w:val="32"/>
          <w:highlight w:val="none"/>
        </w:rPr>
      </w:pPr>
    </w:p>
    <w:p>
      <w:pPr>
        <w:pStyle w:val="2"/>
        <w:rPr>
          <w:rFonts w:hint="eastAsia" w:ascii="仿宋_GB2312" w:hAnsi="仿宋_GB2312" w:eastAsia="仿宋_GB2312" w:cs="仿宋_GB2312"/>
          <w:color w:val="auto"/>
          <w:kern w:val="0"/>
          <w:sz w:val="32"/>
          <w:szCs w:val="32"/>
          <w:highlight w:val="none"/>
        </w:rPr>
      </w:pPr>
    </w:p>
    <w:p>
      <w:pPr>
        <w:pStyle w:val="2"/>
        <w:rPr>
          <w:rFonts w:hint="eastAsia" w:ascii="仿宋_GB2312" w:hAnsi="仿宋_GB2312" w:eastAsia="仿宋_GB2312" w:cs="仿宋_GB2312"/>
          <w:color w:val="auto"/>
          <w:kern w:val="0"/>
          <w:sz w:val="32"/>
          <w:szCs w:val="32"/>
          <w:highlight w:val="none"/>
        </w:rPr>
      </w:pPr>
    </w:p>
    <w:p>
      <w:pPr>
        <w:pStyle w:val="2"/>
        <w:rPr>
          <w:rFonts w:hint="eastAsia" w:ascii="仿宋_GB2312" w:hAnsi="仿宋_GB2312" w:eastAsia="仿宋_GB2312" w:cs="仿宋_GB2312"/>
          <w:color w:val="auto"/>
          <w:kern w:val="0"/>
          <w:sz w:val="32"/>
          <w:szCs w:val="32"/>
          <w:highlight w:val="none"/>
        </w:rPr>
      </w:pPr>
    </w:p>
    <w:p>
      <w:pPr>
        <w:pStyle w:val="2"/>
        <w:rPr>
          <w:rFonts w:hint="eastAsia" w:ascii="仿宋_GB2312" w:hAnsi="仿宋_GB2312" w:eastAsia="仿宋_GB2312" w:cs="仿宋_GB2312"/>
          <w:color w:val="auto"/>
          <w:kern w:val="0"/>
          <w:sz w:val="32"/>
          <w:szCs w:val="32"/>
          <w:highlight w:val="none"/>
        </w:rPr>
      </w:pPr>
    </w:p>
    <w:p>
      <w:pPr>
        <w:pStyle w:val="2"/>
        <w:rPr>
          <w:rFonts w:hint="eastAsia" w:ascii="仿宋_GB2312" w:hAnsi="仿宋_GB2312" w:eastAsia="仿宋_GB2312" w:cs="仿宋_GB2312"/>
          <w:color w:val="auto"/>
          <w:kern w:val="0"/>
          <w:sz w:val="32"/>
          <w:szCs w:val="32"/>
          <w:highlight w:val="none"/>
        </w:rPr>
      </w:pPr>
    </w:p>
    <w:p>
      <w:pPr>
        <w:widowControl/>
        <w:snapToGrid w:val="0"/>
        <w:spacing w:line="580" w:lineRule="exact"/>
        <w:ind w:firstLine="880" w:firstLineChars="200"/>
        <w:jc w:val="center"/>
        <w:rPr>
          <w:rFonts w:hint="eastAsia" w:ascii="方正小标宋简体" w:hAnsi="方正小标宋简体" w:eastAsia="方正小标宋简体" w:cs="方正小标宋简体"/>
          <w:bCs/>
          <w:color w:val="auto"/>
          <w:kern w:val="0"/>
          <w:sz w:val="44"/>
          <w:szCs w:val="44"/>
          <w:highlight w:val="none"/>
        </w:rPr>
      </w:pPr>
    </w:p>
    <w:p>
      <w:pPr>
        <w:widowControl/>
        <w:snapToGrid w:val="0"/>
        <w:spacing w:line="580" w:lineRule="exact"/>
        <w:ind w:firstLine="880" w:firstLineChars="200"/>
        <w:jc w:val="center"/>
        <w:rPr>
          <w:rFonts w:hint="eastAsia" w:ascii="方正小标宋简体" w:hAnsi="方正小标宋简体" w:eastAsia="方正小标宋简体" w:cs="方正小标宋简体"/>
          <w:bCs/>
          <w:color w:val="auto"/>
          <w:kern w:val="0"/>
          <w:sz w:val="44"/>
          <w:szCs w:val="44"/>
          <w:highlight w:val="none"/>
        </w:rPr>
      </w:pPr>
      <w:r>
        <w:rPr>
          <w:rFonts w:hint="eastAsia" w:ascii="方正小标宋简体" w:hAnsi="方正小标宋简体" w:eastAsia="方正小标宋简体" w:cs="方正小标宋简体"/>
          <w:bCs/>
          <w:color w:val="auto"/>
          <w:kern w:val="0"/>
          <w:sz w:val="44"/>
          <w:szCs w:val="44"/>
          <w:highlight w:val="none"/>
        </w:rPr>
        <w:t>第二编 项目概况及需求</w:t>
      </w:r>
    </w:p>
    <w:p>
      <w:pPr>
        <w:widowControl/>
        <w:snapToGrid w:val="0"/>
        <w:spacing w:line="580" w:lineRule="exact"/>
        <w:ind w:firstLine="640" w:firstLineChars="200"/>
        <w:jc w:val="left"/>
        <w:rPr>
          <w:rFonts w:hint="eastAsia" w:ascii="黑体" w:hAnsi="黑体" w:eastAsia="黑体" w:cs="黑体"/>
          <w:bCs/>
          <w:color w:val="auto"/>
          <w:kern w:val="0"/>
          <w:sz w:val="32"/>
          <w:szCs w:val="32"/>
          <w:highlight w:val="none"/>
        </w:rPr>
      </w:pPr>
    </w:p>
    <w:p>
      <w:pPr>
        <w:widowControl/>
        <w:snapToGrid w:val="0"/>
        <w:spacing w:line="580" w:lineRule="exact"/>
        <w:ind w:firstLine="640" w:firstLineChars="200"/>
        <w:jc w:val="left"/>
        <w:rPr>
          <w:rFonts w:hint="eastAsia" w:ascii="黑体" w:hAnsi="黑体" w:eastAsia="黑体" w:cs="黑体"/>
          <w:bCs/>
          <w:color w:val="auto"/>
          <w:kern w:val="0"/>
          <w:sz w:val="32"/>
          <w:szCs w:val="32"/>
          <w:highlight w:val="none"/>
        </w:rPr>
      </w:pPr>
      <w:r>
        <w:rPr>
          <w:rFonts w:hint="eastAsia" w:ascii="黑体" w:hAnsi="黑体" w:eastAsia="黑体" w:cs="黑体"/>
          <w:bCs/>
          <w:color w:val="auto"/>
          <w:kern w:val="0"/>
          <w:sz w:val="32"/>
          <w:szCs w:val="32"/>
          <w:highlight w:val="none"/>
        </w:rPr>
        <w:t>一、项目名称</w:t>
      </w:r>
    </w:p>
    <w:p>
      <w:pPr>
        <w:widowControl/>
        <w:snapToGrid w:val="0"/>
        <w:spacing w:line="580" w:lineRule="exact"/>
        <w:ind w:firstLine="640" w:firstLineChars="200"/>
        <w:jc w:val="left"/>
        <w:rPr>
          <w:rFonts w:hint="eastAsia" w:ascii="仿宋_GB2312" w:hAnsi="仿宋_GB2312" w:eastAsia="仿宋_GB2312" w:cs="仿宋_GB2312"/>
          <w:b/>
          <w:color w:val="auto"/>
          <w:sz w:val="32"/>
          <w:szCs w:val="32"/>
          <w:highlight w:val="none"/>
          <w:u w:val="single"/>
        </w:rPr>
      </w:pPr>
      <w:bookmarkStart w:id="9" w:name="OLE_LINK2"/>
      <w:bookmarkStart w:id="10" w:name="OLE_LINK1"/>
      <w:r>
        <w:rPr>
          <w:rFonts w:hint="eastAsia" w:ascii="仿宋_GB2312" w:hAnsi="仿宋_GB2312" w:eastAsia="仿宋_GB2312" w:cs="仿宋_GB2312"/>
          <w:color w:val="auto"/>
          <w:sz w:val="32"/>
          <w:szCs w:val="32"/>
          <w:highlight w:val="none"/>
        </w:rPr>
        <w:t>广州市自来水工程有限公司</w:t>
      </w:r>
      <w:bookmarkEnd w:id="9"/>
      <w:bookmarkEnd w:id="10"/>
      <w:r>
        <w:rPr>
          <w:rFonts w:hint="eastAsia" w:ascii="仿宋_GB2312" w:hAnsi="仿宋_GB2312" w:eastAsia="仿宋_GB2312" w:cs="仿宋_GB2312"/>
          <w:color w:val="auto"/>
          <w:kern w:val="0"/>
          <w:sz w:val="32"/>
          <w:szCs w:val="32"/>
          <w:highlight w:val="none"/>
        </w:rPr>
        <w:t>合规管理体系建设及风险、内控、合规三体系整合建设咨询服务采购</w:t>
      </w:r>
      <w:r>
        <w:rPr>
          <w:rFonts w:hint="eastAsia" w:ascii="仿宋_GB2312" w:hAnsi="仿宋_GB2312" w:eastAsia="仿宋_GB2312" w:cs="仿宋_GB2312"/>
          <w:color w:val="auto"/>
          <w:sz w:val="32"/>
          <w:szCs w:val="32"/>
          <w:highlight w:val="none"/>
        </w:rPr>
        <w:t>项目。</w:t>
      </w:r>
    </w:p>
    <w:p>
      <w:pPr>
        <w:widowControl/>
        <w:snapToGrid w:val="0"/>
        <w:spacing w:line="580" w:lineRule="exact"/>
        <w:ind w:firstLine="640" w:firstLineChars="200"/>
        <w:jc w:val="left"/>
        <w:rPr>
          <w:rFonts w:hint="eastAsia" w:ascii="黑体" w:hAnsi="黑体" w:eastAsia="黑体" w:cs="黑体"/>
          <w:bCs/>
          <w:color w:val="auto"/>
          <w:kern w:val="0"/>
          <w:sz w:val="32"/>
          <w:szCs w:val="32"/>
          <w:highlight w:val="none"/>
        </w:rPr>
      </w:pPr>
      <w:r>
        <w:rPr>
          <w:rFonts w:hint="eastAsia" w:ascii="黑体" w:hAnsi="黑体" w:eastAsia="黑体" w:cs="黑体"/>
          <w:bCs/>
          <w:color w:val="auto"/>
          <w:kern w:val="0"/>
          <w:sz w:val="32"/>
          <w:szCs w:val="32"/>
          <w:highlight w:val="none"/>
        </w:rPr>
        <w:t>二、项目目标</w:t>
      </w:r>
    </w:p>
    <w:p>
      <w:pPr>
        <w:widowControl/>
        <w:snapToGrid w:val="0"/>
        <w:spacing w:line="580" w:lineRule="exact"/>
        <w:ind w:firstLine="640" w:firstLineChars="200"/>
        <w:jc w:val="left"/>
        <w:rPr>
          <w:rFonts w:hint="eastAsia" w:ascii="仿宋_GB2312" w:hAnsi="仿宋_GB2312" w:eastAsia="仿宋_GB2312" w:cs="仿宋_GB2312"/>
          <w:bCs/>
          <w:color w:val="auto"/>
          <w:kern w:val="0"/>
          <w:sz w:val="32"/>
          <w:szCs w:val="32"/>
          <w:highlight w:val="none"/>
        </w:rPr>
      </w:pPr>
      <w:r>
        <w:rPr>
          <w:rFonts w:hint="eastAsia" w:ascii="仿宋_GB2312" w:hAnsi="仿宋_GB2312" w:eastAsia="仿宋_GB2312" w:cs="仿宋_GB2312"/>
          <w:bCs/>
          <w:color w:val="auto"/>
          <w:kern w:val="0"/>
          <w:sz w:val="32"/>
          <w:szCs w:val="32"/>
          <w:highlight w:val="none"/>
        </w:rPr>
        <w:t>按照国家、省、市及集团文件要求，结合公司及所属企业实际，在原有内控和风险体系建设的基础上，以更新内控、夯实风险、建设合规为主要内容，采取风险、内控与合规三体系整合建设的路径，建立风险、内控、合规管理三位一体的“大风险”管理机制，基本实现“大风险”管理体系健全、制度体系完备、工作流程规范、风险控制到位，保障公司各项业务健康持续发展。</w:t>
      </w:r>
    </w:p>
    <w:p>
      <w:pPr>
        <w:widowControl/>
        <w:snapToGrid w:val="0"/>
        <w:spacing w:line="580" w:lineRule="exact"/>
        <w:ind w:firstLine="640" w:firstLineChars="200"/>
        <w:jc w:val="left"/>
        <w:rPr>
          <w:rFonts w:hint="eastAsia" w:ascii="黑体" w:hAnsi="黑体" w:eastAsia="黑体" w:cs="黑体"/>
          <w:bCs/>
          <w:color w:val="auto"/>
          <w:kern w:val="0"/>
          <w:sz w:val="32"/>
          <w:szCs w:val="32"/>
          <w:highlight w:val="none"/>
        </w:rPr>
      </w:pPr>
      <w:r>
        <w:rPr>
          <w:rFonts w:hint="eastAsia" w:ascii="黑体" w:hAnsi="黑体" w:eastAsia="黑体" w:cs="黑体"/>
          <w:bCs/>
          <w:color w:val="auto"/>
          <w:kern w:val="0"/>
          <w:sz w:val="32"/>
          <w:szCs w:val="32"/>
          <w:highlight w:val="none"/>
        </w:rPr>
        <w:t>三、项目周期</w:t>
      </w:r>
    </w:p>
    <w:p>
      <w:pPr>
        <w:widowControl/>
        <w:snapToGrid w:val="0"/>
        <w:spacing w:line="580" w:lineRule="exact"/>
        <w:ind w:firstLine="640"/>
        <w:jc w:val="left"/>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服务期限为12个月。其中，项目建设期不超过7个月（合规管理体系建设成果在2021年</w:t>
      </w:r>
      <w:r>
        <w:rPr>
          <w:rFonts w:hint="eastAsia" w:ascii="仿宋_GB2312" w:hAnsi="仿宋_GB2312" w:eastAsia="仿宋_GB2312" w:cs="仿宋_GB2312"/>
          <w:color w:val="auto"/>
          <w:kern w:val="0"/>
          <w:sz w:val="32"/>
          <w:szCs w:val="32"/>
          <w:highlight w:val="none"/>
          <w:lang w:val="en-US" w:eastAsia="zh-CN"/>
        </w:rPr>
        <w:t>12</w:t>
      </w:r>
      <w:r>
        <w:rPr>
          <w:rFonts w:hint="eastAsia" w:ascii="仿宋_GB2312" w:hAnsi="仿宋_GB2312" w:eastAsia="仿宋_GB2312" w:cs="仿宋_GB2312"/>
          <w:color w:val="auto"/>
          <w:kern w:val="0"/>
          <w:sz w:val="32"/>
          <w:szCs w:val="32"/>
          <w:highlight w:val="none"/>
        </w:rPr>
        <w:t>月15日以前提交初稿；风险、内控、合规三体系整合建设成果在2022年</w:t>
      </w:r>
      <w:r>
        <w:rPr>
          <w:rFonts w:hint="eastAsia" w:ascii="仿宋_GB2312" w:hAnsi="仿宋_GB2312" w:eastAsia="仿宋_GB2312" w:cs="仿宋_GB2312"/>
          <w:color w:val="auto"/>
          <w:kern w:val="0"/>
          <w:sz w:val="32"/>
          <w:szCs w:val="32"/>
          <w:highlight w:val="none"/>
          <w:lang w:val="en-US" w:eastAsia="zh-CN"/>
        </w:rPr>
        <w:t>3</w:t>
      </w:r>
      <w:r>
        <w:rPr>
          <w:rFonts w:hint="eastAsia" w:ascii="仿宋_GB2312" w:hAnsi="仿宋_GB2312" w:eastAsia="仿宋_GB2312" w:cs="仿宋_GB2312"/>
          <w:color w:val="auto"/>
          <w:kern w:val="0"/>
          <w:sz w:val="32"/>
          <w:szCs w:val="32"/>
          <w:highlight w:val="none"/>
        </w:rPr>
        <w:t>月</w:t>
      </w:r>
      <w:r>
        <w:rPr>
          <w:rFonts w:hint="eastAsia" w:ascii="仿宋_GB2312" w:hAnsi="仿宋_GB2312" w:eastAsia="仿宋_GB2312" w:cs="仿宋_GB2312"/>
          <w:color w:val="auto"/>
          <w:kern w:val="0"/>
          <w:sz w:val="32"/>
          <w:szCs w:val="32"/>
          <w:highlight w:val="none"/>
          <w:lang w:val="en-US" w:eastAsia="zh-CN"/>
        </w:rPr>
        <w:t>31</w:t>
      </w:r>
      <w:r>
        <w:rPr>
          <w:rFonts w:hint="eastAsia" w:ascii="仿宋_GB2312" w:hAnsi="仿宋_GB2312" w:eastAsia="仿宋_GB2312" w:cs="仿宋_GB2312"/>
          <w:color w:val="auto"/>
          <w:kern w:val="0"/>
          <w:sz w:val="32"/>
          <w:szCs w:val="32"/>
          <w:highlight w:val="none"/>
        </w:rPr>
        <w:t>日以前提交初稿），落地支持服务</w:t>
      </w:r>
      <w:r>
        <w:rPr>
          <w:rFonts w:hint="eastAsia" w:ascii="仿宋_GB2312" w:hAnsi="仿宋_GB2312" w:eastAsia="仿宋_GB2312" w:cs="仿宋_GB2312"/>
          <w:color w:val="auto"/>
          <w:kern w:val="0"/>
          <w:sz w:val="32"/>
          <w:szCs w:val="32"/>
          <w:highlight w:val="none"/>
          <w:lang w:eastAsia="zh-CN"/>
        </w:rPr>
        <w:t>期</w:t>
      </w:r>
      <w:r>
        <w:rPr>
          <w:rFonts w:hint="eastAsia" w:ascii="仿宋_GB2312" w:hAnsi="仿宋_GB2312" w:eastAsia="仿宋_GB2312" w:cs="仿宋_GB2312"/>
          <w:color w:val="auto"/>
          <w:kern w:val="0"/>
          <w:sz w:val="32"/>
          <w:szCs w:val="32"/>
          <w:highlight w:val="none"/>
        </w:rPr>
        <w:t>为5个月，具体期限以服务合同为准。</w:t>
      </w:r>
    </w:p>
    <w:p>
      <w:pPr>
        <w:widowControl/>
        <w:snapToGrid w:val="0"/>
        <w:spacing w:line="580" w:lineRule="exact"/>
        <w:ind w:firstLine="640" w:firstLineChars="200"/>
        <w:jc w:val="left"/>
        <w:rPr>
          <w:rFonts w:hint="eastAsia" w:ascii="黑体" w:hAnsi="黑体" w:eastAsia="黑体" w:cs="黑体"/>
          <w:bCs/>
          <w:color w:val="auto"/>
          <w:kern w:val="0"/>
          <w:sz w:val="32"/>
          <w:szCs w:val="32"/>
          <w:highlight w:val="none"/>
        </w:rPr>
      </w:pPr>
      <w:r>
        <w:rPr>
          <w:rFonts w:hint="eastAsia" w:ascii="黑体" w:hAnsi="黑体" w:eastAsia="黑体" w:cs="黑体"/>
          <w:bCs/>
          <w:color w:val="auto"/>
          <w:kern w:val="0"/>
          <w:sz w:val="32"/>
          <w:szCs w:val="32"/>
          <w:highlight w:val="none"/>
        </w:rPr>
        <w:t>四、预算控制</w:t>
      </w:r>
    </w:p>
    <w:p>
      <w:pPr>
        <w:widowControl/>
        <w:snapToGrid w:val="0"/>
        <w:spacing w:line="580" w:lineRule="exact"/>
        <w:ind w:firstLine="640" w:firstLineChars="200"/>
        <w:jc w:val="left"/>
        <w:rPr>
          <w:rFonts w:hint="eastAsia" w:ascii="仿宋_GB2312" w:hAnsi="仿宋_GB2312" w:eastAsia="仿宋_GB2312" w:cs="仿宋_GB2312"/>
          <w:bCs/>
          <w:color w:val="auto"/>
          <w:kern w:val="0"/>
          <w:sz w:val="32"/>
          <w:szCs w:val="32"/>
          <w:highlight w:val="none"/>
        </w:rPr>
      </w:pPr>
      <w:r>
        <w:rPr>
          <w:rFonts w:hint="eastAsia" w:ascii="仿宋_GB2312" w:hAnsi="仿宋_GB2312" w:eastAsia="仿宋_GB2312" w:cs="仿宋_GB2312"/>
          <w:bCs/>
          <w:color w:val="auto"/>
          <w:kern w:val="0"/>
          <w:sz w:val="32"/>
          <w:szCs w:val="32"/>
          <w:highlight w:val="none"/>
        </w:rPr>
        <w:t>采购人对本项目实施预算控制：总服务费不超过人民币</w:t>
      </w:r>
      <w:r>
        <w:rPr>
          <w:rFonts w:hint="eastAsia" w:ascii="仿宋_GB2312" w:hAnsi="仿宋_GB2312" w:eastAsia="仿宋_GB2312" w:cs="仿宋_GB2312"/>
          <w:bCs/>
          <w:color w:val="auto"/>
          <w:kern w:val="0"/>
          <w:sz w:val="32"/>
          <w:szCs w:val="32"/>
          <w:highlight w:val="none"/>
          <w:lang w:val="en-US" w:eastAsia="zh-CN"/>
        </w:rPr>
        <w:t>6</w:t>
      </w:r>
      <w:r>
        <w:rPr>
          <w:rFonts w:hint="eastAsia" w:ascii="仿宋_GB2312" w:hAnsi="仿宋_GB2312" w:eastAsia="仿宋_GB2312" w:cs="仿宋_GB2312"/>
          <w:bCs/>
          <w:color w:val="auto"/>
          <w:kern w:val="0"/>
          <w:sz w:val="32"/>
          <w:szCs w:val="32"/>
          <w:highlight w:val="none"/>
        </w:rPr>
        <w:t>0万元（含税）。</w:t>
      </w:r>
    </w:p>
    <w:p>
      <w:pPr>
        <w:widowControl/>
        <w:snapToGrid w:val="0"/>
        <w:spacing w:line="580" w:lineRule="exact"/>
        <w:ind w:firstLine="640" w:firstLineChars="200"/>
        <w:jc w:val="left"/>
        <w:rPr>
          <w:rFonts w:hint="eastAsia" w:ascii="仿宋_GB2312" w:hAnsi="仿宋_GB2312" w:eastAsia="仿宋_GB2312" w:cs="仿宋_GB2312"/>
          <w:color w:val="auto"/>
          <w:kern w:val="0"/>
          <w:sz w:val="32"/>
          <w:szCs w:val="32"/>
          <w:highlight w:val="none"/>
        </w:rPr>
      </w:pPr>
      <w:r>
        <w:rPr>
          <w:rFonts w:hint="eastAsia" w:ascii="黑体" w:hAnsi="黑体" w:eastAsia="黑体" w:cs="黑体"/>
          <w:bCs/>
          <w:color w:val="auto"/>
          <w:kern w:val="0"/>
          <w:sz w:val="32"/>
          <w:szCs w:val="32"/>
          <w:highlight w:val="none"/>
        </w:rPr>
        <w:t>五、项目服务内容</w:t>
      </w:r>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根据国务院国资委《关于做好2020年中央企业内部控制体系建设与监督工作有关事项的通知》（国资厅发监督〔2019〕44号）明确提出的三体系整合要求：“进一步整合优化内控、风险和合规管理相关制度，完善内控缺陷认定标准、风险评估标准和合规评价标准，构建相互融合、协同高效的内控监管制度体系”，并“按一体化要求编制年度内控体系工作报告”，取代以往要求分别报送的内部控制评价报告和风险管理报告；同时，根据</w:t>
      </w:r>
      <w:r>
        <w:rPr>
          <w:rFonts w:hint="eastAsia" w:ascii="仿宋_GB2312" w:hAnsi="仿宋_GB2312" w:eastAsia="仿宋_GB2312" w:cs="仿宋_GB2312"/>
          <w:color w:val="auto"/>
          <w:sz w:val="32"/>
          <w:szCs w:val="32"/>
          <w:highlight w:val="none"/>
          <w:lang w:eastAsia="zh-CN"/>
        </w:rPr>
        <w:t>广州水投</w:t>
      </w:r>
      <w:r>
        <w:rPr>
          <w:rFonts w:hint="eastAsia" w:ascii="仿宋_GB2312" w:hAnsi="仿宋_GB2312" w:eastAsia="仿宋_GB2312" w:cs="仿宋_GB2312"/>
          <w:color w:val="auto"/>
          <w:sz w:val="32"/>
          <w:szCs w:val="32"/>
          <w:highlight w:val="none"/>
        </w:rPr>
        <w:t>集团文件要求开展一体化管理平台的工作内容，本服务项目主要包括以下内容：</w:t>
      </w:r>
    </w:p>
    <w:p>
      <w:pPr>
        <w:snapToGrid w:val="0"/>
        <w:spacing w:line="580" w:lineRule="exact"/>
        <w:ind w:firstLine="640" w:firstLineChars="200"/>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（一）建设合规管理体系</w:t>
      </w:r>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分析公司现状，开展合规管理整体评估，形成评估报告及公司合规管理建议方案，方案内容包括公司对总部及所属各级企业以有效防控合规风险为目标开展的组织体系、制度流程、保障体系、合规审查、风险应对、责任追究、考核评价、合规培训等管理活动的管控模式和方法建议。</w:t>
      </w:r>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2.根据法律法规、监管规定、行业准则和企业章程、规章制度以及国际条约、规则等，设计合规管理运行、保障体系。</w:t>
      </w:r>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3.梳理公司合规管理关键岗位、关键领域、关键人员，描述关键控制和合规要求及落实对应的执行岗位，明确合规管理重点，形成合规</w:t>
      </w:r>
      <w:r>
        <w:rPr>
          <w:rFonts w:hint="eastAsia" w:ascii="仿宋_GB2312" w:hAnsi="仿宋_GB2312" w:eastAsia="仿宋_GB2312" w:cs="仿宋_GB2312"/>
          <w:color w:val="auto"/>
          <w:sz w:val="32"/>
          <w:szCs w:val="32"/>
          <w:highlight w:val="none"/>
          <w:lang w:eastAsia="zh-CN"/>
        </w:rPr>
        <w:t>审查</w:t>
      </w:r>
      <w:r>
        <w:rPr>
          <w:rFonts w:hint="eastAsia" w:ascii="仿宋_GB2312" w:hAnsi="仿宋_GB2312" w:eastAsia="仿宋_GB2312" w:cs="仿宋_GB2312"/>
          <w:color w:val="auto"/>
          <w:sz w:val="32"/>
          <w:szCs w:val="32"/>
          <w:highlight w:val="none"/>
        </w:rPr>
        <w:t>指引。</w:t>
      </w:r>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4.对公司规章制度、流程全面梳理、整合和优化，将外规与内部规章制度高度融合，建立流程与外规的关联，全景展现外部合规要求在企业流程上的分布，形成基于流程的合规框架。</w:t>
      </w:r>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5.针对重点管理领域（初步选定公司治理、财务资金管理、工程建设、招采管理、法务管理、人力资源管理</w:t>
      </w:r>
      <w:r>
        <w:rPr>
          <w:rFonts w:hint="eastAsia" w:ascii="仿宋_GB2312" w:hAnsi="仿宋_GB2312" w:eastAsia="仿宋_GB2312" w:cs="仿宋_GB2312"/>
          <w:color w:val="auto"/>
          <w:sz w:val="32"/>
          <w:szCs w:val="32"/>
          <w:highlight w:val="none"/>
          <w:lang w:eastAsia="zh-CN"/>
        </w:rPr>
        <w:t>、资产管理及战略投资管理八</w:t>
      </w:r>
      <w:r>
        <w:rPr>
          <w:rFonts w:hint="eastAsia" w:ascii="仿宋_GB2312" w:hAnsi="仿宋_GB2312" w:eastAsia="仿宋_GB2312" w:cs="仿宋_GB2312"/>
          <w:color w:val="auto"/>
          <w:sz w:val="32"/>
          <w:szCs w:val="32"/>
          <w:highlight w:val="none"/>
        </w:rPr>
        <w:t>个重点管理领域，项目实施过程中可根据梳理的实际情况进行调整）梳理形成合规管理风险库；设计合规风险监控指标、合规管理报告模板、合规管理考核指标；设计合规风险识别、评估、动态更新、监控、预警、报告等工作流程和表单。</w:t>
      </w:r>
    </w:p>
    <w:p>
      <w:pPr>
        <w:snapToGrid w:val="0"/>
        <w:spacing w:line="580" w:lineRule="exact"/>
        <w:ind w:firstLine="640" w:firstLineChars="200"/>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（二）构建风险、内控、合规一体化管理体系</w:t>
      </w:r>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结合企业现有内控与风险管理的现状，提出风险、内控、合规三合一体系建设评估报告和相应的建设方案，整合流程、表单，搭建协同联动的管理体系，拟定风险内控合规一体化管理办法、风险内控合规一体化考核评价办法，形成管理闭环。</w:t>
      </w:r>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完善风险、内控、合规三合一体系的组织结构，明确各职能部门、下属公司在三合一体系中的职责分工、管控界面，梳理并完善三合一体系运作机制和流程，梳理基于三合一体系的决策事项审批权限和过程，出具事项提交、审核、审批、备案的权限清单。</w:t>
      </w:r>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3.根据风险、内控、合规管理制度要求及公司实际需要，针对选定的</w:t>
      </w:r>
      <w:r>
        <w:rPr>
          <w:rFonts w:hint="eastAsia" w:ascii="仿宋_GB2312" w:hAnsi="仿宋_GB2312" w:eastAsia="仿宋_GB2312" w:cs="仿宋_GB2312"/>
          <w:color w:val="auto"/>
          <w:sz w:val="32"/>
          <w:szCs w:val="32"/>
          <w:highlight w:val="none"/>
          <w:lang w:eastAsia="zh-CN"/>
        </w:rPr>
        <w:t>八</w:t>
      </w:r>
      <w:r>
        <w:rPr>
          <w:rFonts w:hint="eastAsia" w:ascii="仿宋_GB2312" w:hAnsi="仿宋_GB2312" w:eastAsia="仿宋_GB2312" w:cs="仿宋_GB2312"/>
          <w:color w:val="auto"/>
          <w:sz w:val="32"/>
          <w:szCs w:val="32"/>
          <w:highlight w:val="none"/>
        </w:rPr>
        <w:t>个重点管理领域建立并完善三合一体系管理手册（包括但不限于风险管理清单、流程框架、流程图、决策事项授权审批表、控制矩阵等）。</w:t>
      </w:r>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4.开展一体化管理体系培训和文化宣贯。</w:t>
      </w:r>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5.形成企业重大经营风险事件或内控缺陷的报告模板；编制年度风险内控合规一体化报告，并形成报告模板。</w:t>
      </w:r>
    </w:p>
    <w:p>
      <w:pPr>
        <w:snapToGrid w:val="0"/>
        <w:spacing w:line="580" w:lineRule="exact"/>
        <w:ind w:firstLine="640" w:firstLineChars="200"/>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（三）其他内容</w:t>
      </w:r>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1.建立长效机制，就本项目落地执行给出建议。</w:t>
      </w:r>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2.落地</w:t>
      </w:r>
      <w:r>
        <w:rPr>
          <w:rFonts w:hint="eastAsia" w:ascii="仿宋_GB2312" w:hAnsi="仿宋_GB2312" w:eastAsia="仿宋_GB2312" w:cs="仿宋_GB2312"/>
          <w:color w:val="auto"/>
          <w:sz w:val="32"/>
          <w:szCs w:val="32"/>
          <w:highlight w:val="none"/>
          <w:lang w:eastAsia="zh-CN"/>
        </w:rPr>
        <w:t>支持服务</w:t>
      </w:r>
      <w:r>
        <w:rPr>
          <w:rFonts w:hint="eastAsia" w:ascii="仿宋_GB2312" w:hAnsi="仿宋_GB2312" w:eastAsia="仿宋_GB2312" w:cs="仿宋_GB2312"/>
          <w:color w:val="auto"/>
          <w:sz w:val="32"/>
          <w:szCs w:val="32"/>
          <w:highlight w:val="none"/>
        </w:rPr>
        <w:t>期，至少有</w:t>
      </w:r>
      <w:r>
        <w:rPr>
          <w:rFonts w:hint="eastAsia" w:ascii="仿宋_GB2312" w:hAnsi="仿宋_GB2312" w:eastAsia="仿宋_GB2312" w:cs="仿宋_GB2312"/>
          <w:color w:val="auto"/>
          <w:sz w:val="32"/>
          <w:szCs w:val="32"/>
          <w:highlight w:val="none"/>
          <w:lang w:eastAsia="zh-CN"/>
        </w:rPr>
        <w:t>五</w:t>
      </w:r>
      <w:r>
        <w:rPr>
          <w:rFonts w:hint="eastAsia" w:ascii="仿宋_GB2312" w:hAnsi="仿宋_GB2312" w:eastAsia="仿宋_GB2312" w:cs="仿宋_GB2312"/>
          <w:color w:val="auto"/>
          <w:sz w:val="32"/>
          <w:szCs w:val="32"/>
          <w:highlight w:val="none"/>
        </w:rPr>
        <w:t>个月的落地</w:t>
      </w:r>
      <w:r>
        <w:rPr>
          <w:rFonts w:hint="eastAsia" w:ascii="仿宋_GB2312" w:hAnsi="仿宋_GB2312" w:eastAsia="仿宋_GB2312" w:cs="仿宋_GB2312"/>
          <w:color w:val="auto"/>
          <w:sz w:val="32"/>
          <w:szCs w:val="32"/>
          <w:highlight w:val="none"/>
          <w:lang w:eastAsia="zh-CN"/>
        </w:rPr>
        <w:t>支持服务</w:t>
      </w:r>
      <w:r>
        <w:rPr>
          <w:rFonts w:hint="eastAsia" w:ascii="仿宋_GB2312" w:hAnsi="仿宋_GB2312" w:eastAsia="仿宋_GB2312" w:cs="仿宋_GB2312"/>
          <w:color w:val="auto"/>
          <w:sz w:val="32"/>
          <w:szCs w:val="32"/>
          <w:highlight w:val="none"/>
        </w:rPr>
        <w:t>期，通过沟通与培训，在项目建设和实施过程中，针对项目内容，建立恰当的沟通机制，并对相关人员进行培训。项目期间不少于2次体系宣讲专题培训。</w:t>
      </w:r>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3.项目运行后的首次评价。实施评价并组织回头看，保证风险、内控、合规三合一体系的平稳移交。</w:t>
      </w:r>
    </w:p>
    <w:p>
      <w:pPr>
        <w:snapToGrid w:val="0"/>
        <w:spacing w:line="580" w:lineRule="exact"/>
        <w:ind w:firstLine="640" w:firstLineChars="200"/>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六、项目要求</w:t>
      </w:r>
    </w:p>
    <w:p>
      <w:pPr>
        <w:snapToGrid w:val="0"/>
        <w:spacing w:line="580" w:lineRule="exact"/>
        <w:ind w:firstLine="640" w:firstLineChars="200"/>
        <w:rPr>
          <w:rFonts w:ascii="仿宋_GB2312" w:hAnsi="仿宋_GB2312" w:eastAsia="仿宋_GB2312" w:cs="仿宋_GB2312"/>
          <w:color w:val="auto"/>
          <w:sz w:val="32"/>
          <w:szCs w:val="32"/>
          <w:highlight w:val="none"/>
        </w:rPr>
      </w:pPr>
      <w:r>
        <w:rPr>
          <w:rFonts w:hint="eastAsia" w:ascii="楷体_GB2312" w:hAnsi="楷体_GB2312" w:eastAsia="楷体_GB2312" w:cs="楷体_GB2312"/>
          <w:color w:val="auto"/>
          <w:sz w:val="32"/>
          <w:szCs w:val="32"/>
          <w:highlight w:val="none"/>
        </w:rPr>
        <w:t>（一）</w:t>
      </w:r>
      <w:r>
        <w:rPr>
          <w:rFonts w:hint="eastAsia" w:ascii="仿宋_GB2312" w:hAnsi="仿宋_GB2312" w:eastAsia="仿宋_GB2312" w:cs="仿宋_GB2312"/>
          <w:color w:val="auto"/>
          <w:sz w:val="32"/>
          <w:szCs w:val="32"/>
          <w:highlight w:val="none"/>
        </w:rPr>
        <w:t>人员安排</w:t>
      </w:r>
    </w:p>
    <w:p>
      <w:pPr>
        <w:snapToGrid w:val="0"/>
        <w:spacing w:line="580" w:lineRule="exact"/>
        <w:ind w:firstLine="640" w:firstLineChars="200"/>
        <w:rPr>
          <w:rFonts w:hint="eastAsia"/>
          <w:color w:val="auto"/>
          <w:highlight w:val="none"/>
        </w:rPr>
      </w:pPr>
      <w:r>
        <w:rPr>
          <w:rFonts w:hint="eastAsia" w:ascii="仿宋_GB2312" w:hAnsi="仿宋_GB2312" w:eastAsia="仿宋_GB2312" w:cs="仿宋_GB2312"/>
          <w:color w:val="auto"/>
          <w:sz w:val="32"/>
          <w:szCs w:val="32"/>
          <w:highlight w:val="none"/>
        </w:rPr>
        <w:t>响应人提交项目管理组织机构设置方案，项目专职人员要求</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人及以上，明确提供项目总监（项目负责人）、项目经理（项目现场负责人）、咨询顾问名单及上述人员资质、证书、工作简历和相关项目开发、实施经历。项目团队确保现场办公时间，并应保持人员稳定。在项目实施过程中，</w:t>
      </w:r>
      <w:r>
        <w:rPr>
          <w:rFonts w:hint="eastAsia" w:ascii="仿宋_GB2312" w:hAnsi="仿宋_GB2312" w:eastAsia="仿宋_GB2312" w:cs="仿宋_GB2312"/>
          <w:b/>
          <w:bCs/>
          <w:color w:val="auto"/>
          <w:sz w:val="32"/>
          <w:szCs w:val="32"/>
          <w:highlight w:val="none"/>
        </w:rPr>
        <w:t>项目负责人及项目现场负责人原则上不得更换</w:t>
      </w:r>
      <w:r>
        <w:rPr>
          <w:rFonts w:hint="eastAsia" w:ascii="仿宋_GB2312" w:hAnsi="仿宋_GB2312" w:eastAsia="仿宋_GB2312" w:cs="仿宋_GB2312"/>
          <w:color w:val="auto"/>
          <w:sz w:val="32"/>
          <w:szCs w:val="32"/>
          <w:highlight w:val="none"/>
        </w:rPr>
        <w:t>。</w:t>
      </w:r>
    </w:p>
    <w:p>
      <w:pPr>
        <w:widowControl/>
        <w:snapToGrid w:val="0"/>
        <w:spacing w:line="580" w:lineRule="exact"/>
        <w:ind w:firstLine="640" w:firstLineChars="200"/>
        <w:jc w:val="left"/>
        <w:rPr>
          <w:rFonts w:hint="eastAsia" w:ascii="楷体_GB2312" w:hAnsi="楷体_GB2312" w:eastAsia="楷体_GB2312" w:cs="楷体_GB2312"/>
          <w:bCs/>
          <w:color w:val="auto"/>
          <w:kern w:val="0"/>
          <w:sz w:val="32"/>
          <w:szCs w:val="32"/>
          <w:highlight w:val="none"/>
        </w:rPr>
      </w:pPr>
      <w:bookmarkStart w:id="11" w:name="_Toc419587329"/>
      <w:r>
        <w:rPr>
          <w:rFonts w:hint="eastAsia" w:ascii="楷体_GB2312" w:hAnsi="楷体_GB2312" w:eastAsia="楷体_GB2312" w:cs="楷体_GB2312"/>
          <w:bCs/>
          <w:color w:val="auto"/>
          <w:kern w:val="0"/>
          <w:sz w:val="32"/>
          <w:szCs w:val="32"/>
          <w:highlight w:val="none"/>
        </w:rPr>
        <w:t>（二）进度管理</w:t>
      </w:r>
    </w:p>
    <w:p>
      <w:pPr>
        <w:snapToGrid w:val="0"/>
        <w:spacing w:line="580" w:lineRule="exact"/>
        <w:ind w:firstLine="643" w:firstLineChars="200"/>
        <w:rPr>
          <w:rFonts w:hint="eastAsia" w:ascii="仿宋_GB2312" w:hAnsi="仿宋_GB2312" w:eastAsia="仿宋_GB2312" w:cs="仿宋_GB2312"/>
          <w:b/>
          <w:color w:val="auto"/>
          <w:sz w:val="32"/>
          <w:szCs w:val="32"/>
          <w:highlight w:val="none"/>
        </w:rPr>
      </w:pPr>
      <w:bookmarkStart w:id="12" w:name="_Toc524106512"/>
      <w:r>
        <w:rPr>
          <w:rFonts w:hint="eastAsia" w:ascii="仿宋_GB2312" w:hAnsi="仿宋_GB2312" w:eastAsia="仿宋_GB2312" w:cs="仿宋_GB2312"/>
          <w:b/>
          <w:color w:val="auto"/>
          <w:sz w:val="32"/>
          <w:szCs w:val="32"/>
          <w:highlight w:val="none"/>
        </w:rPr>
        <w:t>第一阶段（2021年</w:t>
      </w:r>
      <w:r>
        <w:rPr>
          <w:rFonts w:hint="eastAsia" w:ascii="仿宋_GB2312" w:hAnsi="仿宋_GB2312" w:eastAsia="仿宋_GB2312" w:cs="仿宋_GB2312"/>
          <w:b/>
          <w:color w:val="auto"/>
          <w:sz w:val="32"/>
          <w:szCs w:val="32"/>
          <w:highlight w:val="none"/>
          <w:lang w:val="en-US" w:eastAsia="zh-CN"/>
        </w:rPr>
        <w:t>9</w:t>
      </w:r>
      <w:r>
        <w:rPr>
          <w:rFonts w:hint="eastAsia" w:ascii="仿宋_GB2312" w:hAnsi="仿宋_GB2312" w:eastAsia="仿宋_GB2312" w:cs="仿宋_GB2312"/>
          <w:b/>
          <w:color w:val="auto"/>
          <w:sz w:val="32"/>
          <w:szCs w:val="32"/>
          <w:highlight w:val="none"/>
        </w:rPr>
        <w:t>月下旬-2022年</w:t>
      </w:r>
      <w:r>
        <w:rPr>
          <w:rFonts w:hint="eastAsia" w:ascii="仿宋_GB2312" w:hAnsi="仿宋_GB2312" w:eastAsia="仿宋_GB2312" w:cs="仿宋_GB2312"/>
          <w:b/>
          <w:color w:val="auto"/>
          <w:sz w:val="32"/>
          <w:szCs w:val="32"/>
          <w:highlight w:val="none"/>
          <w:lang w:val="en-US" w:eastAsia="zh-CN"/>
        </w:rPr>
        <w:t>3</w:t>
      </w:r>
      <w:r>
        <w:rPr>
          <w:rFonts w:hint="eastAsia" w:ascii="仿宋_GB2312" w:hAnsi="仿宋_GB2312" w:eastAsia="仿宋_GB2312" w:cs="仿宋_GB2312"/>
          <w:b/>
          <w:color w:val="auto"/>
          <w:sz w:val="32"/>
          <w:szCs w:val="32"/>
          <w:highlight w:val="none"/>
        </w:rPr>
        <w:t>月下旬以前）</w:t>
      </w:r>
      <w:bookmarkEnd w:id="12"/>
    </w:p>
    <w:p>
      <w:pPr>
        <w:snapToGrid w:val="0"/>
        <w:spacing w:line="580" w:lineRule="exact"/>
        <w:ind w:firstLine="640" w:firstLineChars="200"/>
        <w:rPr>
          <w:rFonts w:hint="eastAsia" w:ascii="仿宋_GB2312" w:hAnsi="仿宋_GB2312" w:eastAsia="仿宋_GB2312" w:cs="仿宋_GB2312"/>
          <w:color w:val="auto"/>
          <w:sz w:val="32"/>
          <w:szCs w:val="32"/>
          <w:highlight w:val="none"/>
        </w:rPr>
      </w:pPr>
      <w:bookmarkStart w:id="13" w:name="_Toc524106513"/>
      <w:r>
        <w:rPr>
          <w:rFonts w:hint="eastAsia" w:ascii="仿宋_GB2312" w:hAnsi="仿宋_GB2312" w:eastAsia="仿宋_GB2312" w:cs="仿宋_GB2312"/>
          <w:color w:val="auto"/>
          <w:sz w:val="32"/>
          <w:szCs w:val="32"/>
          <w:highlight w:val="none"/>
        </w:rPr>
        <w:t>成交单位进场开展</w:t>
      </w:r>
      <w:r>
        <w:rPr>
          <w:rFonts w:hint="eastAsia" w:ascii="仿宋_GB2312" w:hAnsi="仿宋_GB2312" w:eastAsia="仿宋_GB2312" w:cs="仿宋_GB2312"/>
          <w:color w:val="auto"/>
          <w:kern w:val="0"/>
          <w:sz w:val="32"/>
          <w:szCs w:val="32"/>
          <w:highlight w:val="none"/>
        </w:rPr>
        <w:t>合规管理体系建设及风险、内控、合规三体系整合建设</w:t>
      </w:r>
      <w:r>
        <w:rPr>
          <w:rFonts w:hint="eastAsia" w:ascii="仿宋_GB2312" w:hAnsi="仿宋_GB2312" w:eastAsia="仿宋_GB2312" w:cs="仿宋_GB2312"/>
          <w:color w:val="auto"/>
          <w:sz w:val="32"/>
          <w:szCs w:val="32"/>
          <w:highlight w:val="none"/>
        </w:rPr>
        <w:t>工作</w:t>
      </w:r>
      <w:bookmarkEnd w:id="13"/>
      <w:r>
        <w:rPr>
          <w:rFonts w:hint="eastAsia" w:ascii="仿宋_GB2312" w:hAnsi="仿宋_GB2312" w:eastAsia="仿宋_GB2312" w:cs="仿宋_GB2312"/>
          <w:color w:val="auto"/>
          <w:sz w:val="32"/>
          <w:szCs w:val="32"/>
          <w:highlight w:val="none"/>
        </w:rPr>
        <w:t>，建立风控、内控、合规三位一体的“大风控”管理机制，基本实现“大风控”管理体系健全、制度体系完备、工作流程规范，风险控制到位</w:t>
      </w:r>
      <w:bookmarkStart w:id="14" w:name="_Toc524106514"/>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kern w:val="0"/>
          <w:sz w:val="32"/>
          <w:szCs w:val="32"/>
          <w:highlight w:val="none"/>
        </w:rPr>
        <w:t>2021年1</w:t>
      </w:r>
      <w:r>
        <w:rPr>
          <w:rFonts w:hint="eastAsia" w:ascii="仿宋_GB2312" w:hAnsi="仿宋_GB2312" w:eastAsia="仿宋_GB2312" w:cs="仿宋_GB2312"/>
          <w:color w:val="auto"/>
          <w:kern w:val="0"/>
          <w:sz w:val="32"/>
          <w:szCs w:val="32"/>
          <w:highlight w:val="none"/>
          <w:lang w:val="en-US" w:eastAsia="zh-CN"/>
        </w:rPr>
        <w:t>2</w:t>
      </w:r>
      <w:r>
        <w:rPr>
          <w:rFonts w:hint="eastAsia" w:ascii="仿宋_GB2312" w:hAnsi="仿宋_GB2312" w:eastAsia="仿宋_GB2312" w:cs="仿宋_GB2312"/>
          <w:color w:val="auto"/>
          <w:kern w:val="0"/>
          <w:sz w:val="32"/>
          <w:szCs w:val="32"/>
          <w:highlight w:val="none"/>
        </w:rPr>
        <w:t>月15日以前提交合规管理体系建设成果初稿；2022年</w:t>
      </w:r>
      <w:r>
        <w:rPr>
          <w:rFonts w:hint="eastAsia" w:ascii="仿宋_GB2312" w:hAnsi="仿宋_GB2312" w:eastAsia="仿宋_GB2312" w:cs="仿宋_GB2312"/>
          <w:color w:val="auto"/>
          <w:kern w:val="0"/>
          <w:sz w:val="32"/>
          <w:szCs w:val="32"/>
          <w:highlight w:val="none"/>
          <w:lang w:val="en-US" w:eastAsia="zh-CN"/>
        </w:rPr>
        <w:t>3</w:t>
      </w:r>
      <w:r>
        <w:rPr>
          <w:rFonts w:hint="eastAsia" w:ascii="仿宋_GB2312" w:hAnsi="仿宋_GB2312" w:eastAsia="仿宋_GB2312" w:cs="仿宋_GB2312"/>
          <w:color w:val="auto"/>
          <w:kern w:val="0"/>
          <w:sz w:val="32"/>
          <w:szCs w:val="32"/>
          <w:highlight w:val="none"/>
        </w:rPr>
        <w:t>月</w:t>
      </w:r>
      <w:r>
        <w:rPr>
          <w:rFonts w:hint="eastAsia" w:ascii="仿宋_GB2312" w:hAnsi="仿宋_GB2312" w:eastAsia="仿宋_GB2312" w:cs="仿宋_GB2312"/>
          <w:color w:val="auto"/>
          <w:kern w:val="0"/>
          <w:sz w:val="32"/>
          <w:szCs w:val="32"/>
          <w:highlight w:val="none"/>
          <w:lang w:val="en-US" w:eastAsia="zh-CN"/>
        </w:rPr>
        <w:t>31</w:t>
      </w:r>
      <w:r>
        <w:rPr>
          <w:rFonts w:hint="eastAsia" w:ascii="仿宋_GB2312" w:hAnsi="仿宋_GB2312" w:eastAsia="仿宋_GB2312" w:cs="仿宋_GB2312"/>
          <w:color w:val="auto"/>
          <w:kern w:val="0"/>
          <w:sz w:val="32"/>
          <w:szCs w:val="32"/>
          <w:highlight w:val="none"/>
        </w:rPr>
        <w:t>日以前提交风险、内控、合规三体系整合建设成果初稿</w:t>
      </w:r>
      <w:r>
        <w:rPr>
          <w:rFonts w:hint="eastAsia" w:ascii="仿宋_GB2312" w:hAnsi="仿宋_GB2312" w:eastAsia="仿宋_GB2312" w:cs="仿宋_GB2312"/>
          <w:color w:val="auto"/>
          <w:sz w:val="32"/>
          <w:szCs w:val="32"/>
          <w:highlight w:val="none"/>
        </w:rPr>
        <w:t>。</w:t>
      </w:r>
    </w:p>
    <w:p>
      <w:pPr>
        <w:snapToGrid w:val="0"/>
        <w:spacing w:line="580" w:lineRule="exact"/>
        <w:ind w:firstLine="643" w:firstLineChars="200"/>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第二阶段（提交项目初稿之日2个月内）</w:t>
      </w:r>
      <w:bookmarkEnd w:id="14"/>
      <w:bookmarkStart w:id="15" w:name="_Toc524106515"/>
    </w:p>
    <w:bookmarkEnd w:id="15"/>
    <w:p>
      <w:pPr>
        <w:snapToGrid w:val="0"/>
        <w:spacing w:line="580" w:lineRule="exact"/>
        <w:ind w:firstLine="640" w:firstLineChars="200"/>
        <w:rPr>
          <w:rFonts w:hint="eastAsia" w:ascii="仿宋_GB2312" w:hAnsi="仿宋_GB2312" w:eastAsia="仿宋_GB2312" w:cs="仿宋_GB2312"/>
          <w:color w:val="auto"/>
          <w:sz w:val="32"/>
          <w:szCs w:val="32"/>
          <w:highlight w:val="none"/>
        </w:rPr>
      </w:pPr>
      <w:bookmarkStart w:id="16" w:name="_Toc524106516"/>
      <w:r>
        <w:rPr>
          <w:rFonts w:hint="eastAsia" w:ascii="仿宋_GB2312" w:hAnsi="仿宋_GB2312" w:eastAsia="仿宋_GB2312" w:cs="仿宋_GB2312"/>
          <w:color w:val="auto"/>
          <w:sz w:val="32"/>
          <w:szCs w:val="32"/>
          <w:highlight w:val="none"/>
        </w:rPr>
        <w:t>采购人组织对项目成果进行验收；</w:t>
      </w:r>
      <w:bookmarkEnd w:id="16"/>
    </w:p>
    <w:p>
      <w:pPr>
        <w:snapToGrid w:val="0"/>
        <w:spacing w:line="580" w:lineRule="exact"/>
        <w:ind w:firstLine="640" w:firstLineChars="200"/>
        <w:rPr>
          <w:rFonts w:hint="eastAsia" w:ascii="仿宋_GB2312" w:hAnsi="仿宋_GB2312" w:eastAsia="仿宋_GB2312" w:cs="仿宋_GB2312"/>
          <w:color w:val="auto"/>
          <w:sz w:val="32"/>
          <w:szCs w:val="32"/>
          <w:highlight w:val="none"/>
        </w:rPr>
      </w:pPr>
      <w:bookmarkStart w:id="17" w:name="_Toc524106517"/>
      <w:r>
        <w:rPr>
          <w:rFonts w:hint="eastAsia" w:ascii="仿宋_GB2312" w:hAnsi="仿宋_GB2312" w:eastAsia="仿宋_GB2312" w:cs="仿宋_GB2312"/>
          <w:color w:val="auto"/>
          <w:sz w:val="32"/>
          <w:szCs w:val="32"/>
          <w:highlight w:val="none"/>
        </w:rPr>
        <w:t>验收通过后，采购人办理成果内部报批。</w:t>
      </w:r>
      <w:bookmarkEnd w:id="17"/>
    </w:p>
    <w:p>
      <w:pPr>
        <w:snapToGrid w:val="0"/>
        <w:spacing w:line="580" w:lineRule="exact"/>
        <w:ind w:firstLine="643" w:firstLineChars="200"/>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第三阶段（验收合格之日起3个月内）</w:t>
      </w:r>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由成交单位进行风险内控合规文化宣贯与培训；</w:t>
      </w:r>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项目辅导期。</w:t>
      </w:r>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1.响应人需详细列出项目各项任务的工期和人数，作为进度管理的基准。</w:t>
      </w:r>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2</w:t>
      </w:r>
      <w:r>
        <w:rPr>
          <w:rFonts w:hint="eastAsia" w:ascii="仿宋_GB2312" w:hAnsi="仿宋_GB2312" w:eastAsia="仿宋_GB2312" w:cs="仿宋_GB2312"/>
          <w:color w:val="auto"/>
          <w:sz w:val="32"/>
          <w:szCs w:val="32"/>
          <w:highlight w:val="none"/>
        </w:rPr>
        <w:t>.阶段报告。提交阶段性报告，报告中包括进度分析、已完成工作、下阶段计划、主要成果、主要问题以及项目成果交付件。</w:t>
      </w:r>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.如果进度出现较大偏差，项目无法按期完成，可能影响项目目标时，需要提交应对计划，提交采购人管理层批准。</w:t>
      </w:r>
    </w:p>
    <w:p>
      <w:pPr>
        <w:widowControl/>
        <w:snapToGrid w:val="0"/>
        <w:spacing w:line="580" w:lineRule="exact"/>
        <w:ind w:firstLine="640" w:firstLineChars="200"/>
        <w:jc w:val="left"/>
        <w:rPr>
          <w:rFonts w:hint="eastAsia" w:ascii="楷体_GB2312" w:hAnsi="楷体_GB2312" w:eastAsia="楷体_GB2312" w:cs="楷体_GB2312"/>
          <w:bCs/>
          <w:color w:val="auto"/>
          <w:kern w:val="0"/>
          <w:sz w:val="32"/>
          <w:szCs w:val="32"/>
          <w:highlight w:val="none"/>
        </w:rPr>
      </w:pPr>
      <w:r>
        <w:rPr>
          <w:rFonts w:hint="eastAsia" w:ascii="楷体_GB2312" w:hAnsi="楷体_GB2312" w:eastAsia="楷体_GB2312" w:cs="楷体_GB2312"/>
          <w:bCs/>
          <w:color w:val="auto"/>
          <w:kern w:val="0"/>
          <w:sz w:val="32"/>
          <w:szCs w:val="32"/>
          <w:highlight w:val="none"/>
        </w:rPr>
        <w:t>（三）其他要求</w:t>
      </w:r>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1.知识转移</w:t>
      </w:r>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（1）在项目期间，</w:t>
      </w:r>
      <w:r>
        <w:rPr>
          <w:rFonts w:hint="eastAsia" w:ascii="仿宋_GB2312" w:hAnsi="仿宋_GB2312" w:eastAsia="仿宋_GB2312" w:cs="仿宋_GB2312"/>
          <w:color w:val="auto"/>
          <w:sz w:val="32"/>
          <w:szCs w:val="32"/>
          <w:highlight w:val="none"/>
          <w:lang w:eastAsia="zh-CN"/>
        </w:rPr>
        <w:t>成交单位</w:t>
      </w:r>
      <w:r>
        <w:rPr>
          <w:rFonts w:hint="eastAsia" w:ascii="仿宋_GB2312" w:hAnsi="仿宋_GB2312" w:eastAsia="仿宋_GB2312" w:cs="仿宋_GB2312"/>
          <w:color w:val="auto"/>
          <w:sz w:val="32"/>
          <w:szCs w:val="32"/>
          <w:highlight w:val="none"/>
        </w:rPr>
        <w:t>通过培训、研讨等方式，提升采购人风险内控合规管理理念，辅助采购人建立持续改进的机制。</w:t>
      </w:r>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（2）在项目完成之日起7日内，向采购人转移本项目涉及的所有相关文档。</w:t>
      </w:r>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2.售后服务</w:t>
      </w:r>
    </w:p>
    <w:p>
      <w:pPr>
        <w:keepNext w:val="0"/>
        <w:keepLines w:val="0"/>
        <w:pageBreakBefore w:val="0"/>
        <w:widowControl w:val="0"/>
        <w:kinsoku/>
        <w:wordWrap/>
        <w:overflowPunct/>
        <w:topLinePunct w:val="0"/>
        <w:autoSpaceDE/>
        <w:autoSpaceDN/>
        <w:bidi w:val="0"/>
        <w:adjustRightInd/>
        <w:snapToGrid w:val="0"/>
        <w:spacing w:line="580" w:lineRule="exact"/>
        <w:ind w:firstLine="643"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rPr>
        <w:t>在协助采购人完成以上项目内容后，还应提供为期六个月的</w:t>
      </w:r>
      <w:r>
        <w:rPr>
          <w:rFonts w:hint="eastAsia" w:ascii="仿宋_GB2312" w:hAnsi="仿宋_GB2312" w:eastAsia="仿宋_GB2312" w:cs="仿宋_GB2312"/>
          <w:b/>
          <w:bCs/>
          <w:color w:val="auto"/>
          <w:sz w:val="32"/>
          <w:szCs w:val="32"/>
          <w:highlight w:val="none"/>
          <w:lang w:eastAsia="zh-CN"/>
        </w:rPr>
        <w:t>售后</w:t>
      </w:r>
      <w:r>
        <w:rPr>
          <w:rFonts w:hint="eastAsia" w:ascii="仿宋_GB2312" w:hAnsi="仿宋_GB2312" w:eastAsia="仿宋_GB2312" w:cs="仿宋_GB2312"/>
          <w:b/>
          <w:bCs/>
          <w:color w:val="auto"/>
          <w:sz w:val="32"/>
          <w:szCs w:val="32"/>
          <w:highlight w:val="none"/>
        </w:rPr>
        <w:t>服务</w:t>
      </w:r>
      <w:r>
        <w:rPr>
          <w:rFonts w:hint="eastAsia" w:ascii="仿宋_GB2312" w:hAnsi="仿宋_GB2312" w:eastAsia="仿宋_GB2312" w:cs="仿宋_GB2312"/>
          <w:color w:val="auto"/>
          <w:sz w:val="32"/>
          <w:szCs w:val="32"/>
          <w:highlight w:val="none"/>
        </w:rPr>
        <w:t>，协助风险内控合规体系持续改进，服务内容至少应包括：</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（1）为采购人提供电话、电子邮件支持，及时解决体系运行中遇到的问题。</w:t>
      </w:r>
    </w:p>
    <w:p>
      <w:pPr>
        <w:pStyle w:val="2"/>
        <w:keepNext w:val="0"/>
        <w:keepLines w:val="0"/>
        <w:pageBreakBefore w:val="0"/>
        <w:widowControl w:val="0"/>
        <w:kinsoku/>
        <w:wordWrap/>
        <w:overflowPunct/>
        <w:topLinePunct w:val="0"/>
        <w:autoSpaceDE/>
        <w:autoSpaceDN/>
        <w:bidi w:val="0"/>
        <w:adjustRightInd/>
        <w:spacing w:after="0" w:line="580" w:lineRule="exact"/>
        <w:ind w:firstLine="640" w:firstLineChars="200"/>
        <w:textAlignment w:val="auto"/>
        <w:rPr>
          <w:rFonts w:hint="eastAsia"/>
          <w:color w:val="auto"/>
          <w:highlight w:val="none"/>
        </w:rPr>
      </w:pPr>
      <w:r>
        <w:rPr>
          <w:rFonts w:hint="eastAsia" w:ascii="仿宋_GB2312" w:hAnsi="仿宋_GB2312" w:eastAsia="仿宋_GB2312" w:cs="仿宋_GB2312"/>
          <w:color w:val="auto"/>
          <w:sz w:val="32"/>
          <w:szCs w:val="32"/>
          <w:highlight w:val="none"/>
        </w:rPr>
        <w:t>（2）以邮件方式提供内控风控合规领域的最新动态信息。</w:t>
      </w:r>
    </w:p>
    <w:bookmarkEnd w:id="11"/>
    <w:p>
      <w:pPr>
        <w:keepNext w:val="0"/>
        <w:keepLines w:val="0"/>
        <w:pageBreakBefore w:val="0"/>
        <w:widowControl w:val="0"/>
        <w:kinsoku/>
        <w:wordWrap/>
        <w:overflowPunct/>
        <w:topLinePunct w:val="0"/>
        <w:autoSpaceDE/>
        <w:autoSpaceDN/>
        <w:bidi w:val="0"/>
        <w:adjustRightInd/>
        <w:snapToGrid w:val="0"/>
        <w:spacing w:line="580" w:lineRule="exact"/>
        <w:textAlignment w:val="auto"/>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t xml:space="preserve">    七</w:t>
      </w:r>
      <w:r>
        <w:rPr>
          <w:rFonts w:hint="eastAsia" w:ascii="黑体" w:hAnsi="黑体" w:eastAsia="黑体" w:cs="黑体"/>
          <w:bCs/>
          <w:color w:val="auto"/>
          <w:sz w:val="32"/>
          <w:szCs w:val="32"/>
          <w:highlight w:val="none"/>
        </w:rPr>
        <w:t>、项目成果</w:t>
      </w:r>
    </w:p>
    <w:p>
      <w:pPr>
        <w:keepNext w:val="0"/>
        <w:keepLines w:val="0"/>
        <w:pageBreakBefore w:val="0"/>
        <w:widowControl w:val="0"/>
        <w:kinsoku/>
        <w:wordWrap/>
        <w:overflowPunct/>
        <w:topLinePunct w:val="0"/>
        <w:autoSpaceDE/>
        <w:autoSpaceDN/>
        <w:bidi w:val="0"/>
        <w:adjustRightInd/>
        <w:snapToGrid w:val="0"/>
        <w:spacing w:line="58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通过合规管理体系建设及风险、内控、合规三体系整合建设，构建“大风险”管理机制，完成三体系组织架构、工作流程、工具方法、成果报告及保障体系的整合。</w:t>
      </w:r>
    </w:p>
    <w:p>
      <w:pPr>
        <w:snapToGrid w:val="0"/>
        <w:spacing w:line="580" w:lineRule="exact"/>
        <w:ind w:firstLine="640" w:firstLineChars="200"/>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（一）完成一体化管理有效性评估</w:t>
      </w:r>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形成评估报告、合规体系建设方案及三合一体系建设方案，推动公司各管理领域风险防控能力、管理效率与成效的双提升。</w:t>
      </w:r>
    </w:p>
    <w:p>
      <w:pPr>
        <w:snapToGrid w:val="0"/>
        <w:spacing w:line="580" w:lineRule="exact"/>
        <w:ind w:firstLine="640" w:firstLineChars="200"/>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（二）完成一体化管理机制及保障机制建设</w:t>
      </w:r>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1.完成一体化管理组织架构与职责分工设计</w:t>
      </w:r>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明确公司风控、内控、合规一体化管理的范畴、内容、组织架构与职责分工，实现风险、内控、合规三者工作的高度融合、协作，工作职责清晰合理，工作要求明确可执行。</w:t>
      </w:r>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2.出台一体化管理制度</w:t>
      </w:r>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充分整合公司现有的内部控制、风险管理相关管理制度，形成整合的风险内控合规一体化管理制度体系及风险内控合规一体化评价制度体系。</w:t>
      </w:r>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3.确定一体化管理流程</w:t>
      </w:r>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结合现有工作流程，根据整合后的制度体系，针对与经营业务相关的核心管理领域，设计一体化管理流程。</w:t>
      </w:r>
    </w:p>
    <w:p>
      <w:pPr>
        <w:snapToGrid w:val="0"/>
        <w:spacing w:line="580" w:lineRule="exact"/>
        <w:ind w:firstLine="640" w:firstLineChars="200"/>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（三）完成一体化管理手册建设</w:t>
      </w:r>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在明确公司风险、内控、合规管理重点的基础上，针对选定的六大重点领域，制定基于外法内规、合规管理、内部控制、风险管理的一体化管理手册，涵盖风险管理清单、流程框架、流程图、决策事项授权审批表、控制矩阵等。</w:t>
      </w:r>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最终落地成果包括：包括但不限于：</w:t>
      </w:r>
    </w:p>
    <w:p>
      <w:pPr>
        <w:pStyle w:val="18"/>
        <w:snapToGrid w:val="0"/>
        <w:spacing w:line="580" w:lineRule="exact"/>
        <w:ind w:firstLine="640"/>
        <w:rPr>
          <w:rStyle w:val="19"/>
          <w:rFonts w:hint="eastAsia" w:ascii="仿宋_GB2312" w:hAnsi="仿宋_GB2312" w:eastAsia="仿宋_GB2312" w:cs="仿宋_GB2312"/>
          <w:color w:val="auto"/>
          <w:sz w:val="32"/>
          <w:szCs w:val="32"/>
          <w:highlight w:val="none"/>
        </w:rPr>
      </w:pPr>
      <w:r>
        <w:rPr>
          <w:rStyle w:val="19"/>
          <w:rFonts w:hint="eastAsia" w:ascii="仿宋_GB2312" w:hAnsi="仿宋_GB2312" w:eastAsia="仿宋_GB2312" w:cs="仿宋_GB2312"/>
          <w:color w:val="auto"/>
          <w:sz w:val="32"/>
          <w:szCs w:val="32"/>
          <w:highlight w:val="none"/>
        </w:rPr>
        <w:t>1.风险内控合规一体化评估报告；</w:t>
      </w:r>
    </w:p>
    <w:p>
      <w:pPr>
        <w:pStyle w:val="18"/>
        <w:snapToGrid w:val="0"/>
        <w:spacing w:line="580" w:lineRule="exact"/>
        <w:ind w:firstLine="640"/>
        <w:rPr>
          <w:rStyle w:val="19"/>
          <w:rFonts w:hint="eastAsia" w:ascii="仿宋_GB2312" w:hAnsi="仿宋_GB2312" w:eastAsia="仿宋_GB2312" w:cs="仿宋_GB2312"/>
          <w:color w:val="auto"/>
          <w:sz w:val="32"/>
          <w:szCs w:val="32"/>
          <w:highlight w:val="none"/>
        </w:rPr>
      </w:pPr>
      <w:r>
        <w:rPr>
          <w:rStyle w:val="19"/>
          <w:rFonts w:hint="eastAsia" w:ascii="仿宋_GB2312" w:hAnsi="仿宋_GB2312" w:eastAsia="仿宋_GB2312" w:cs="仿宋_GB2312"/>
          <w:color w:val="auto"/>
          <w:sz w:val="32"/>
          <w:szCs w:val="32"/>
          <w:highlight w:val="none"/>
        </w:rPr>
        <w:t>2.风险内控合规一体化建设方案；</w:t>
      </w:r>
    </w:p>
    <w:p>
      <w:pPr>
        <w:pStyle w:val="18"/>
        <w:snapToGrid w:val="0"/>
        <w:spacing w:line="580" w:lineRule="exact"/>
        <w:ind w:firstLine="640"/>
        <w:rPr>
          <w:rStyle w:val="19"/>
          <w:rFonts w:hint="eastAsia" w:ascii="仿宋_GB2312" w:hAnsi="仿宋_GB2312" w:eastAsia="仿宋_GB2312" w:cs="仿宋_GB2312"/>
          <w:color w:val="auto"/>
          <w:sz w:val="32"/>
          <w:szCs w:val="32"/>
          <w:highlight w:val="none"/>
        </w:rPr>
      </w:pPr>
      <w:r>
        <w:rPr>
          <w:rStyle w:val="19"/>
          <w:rFonts w:hint="eastAsia" w:ascii="仿宋_GB2312" w:hAnsi="仿宋_GB2312" w:eastAsia="仿宋_GB2312" w:cs="仿宋_GB2312"/>
          <w:color w:val="auto"/>
          <w:sz w:val="32"/>
          <w:szCs w:val="32"/>
          <w:highlight w:val="none"/>
        </w:rPr>
        <w:t>3.风险内控合规一体化组织架构、权责清单；</w:t>
      </w:r>
    </w:p>
    <w:p>
      <w:pPr>
        <w:pStyle w:val="18"/>
        <w:snapToGrid w:val="0"/>
        <w:spacing w:line="580" w:lineRule="exact"/>
        <w:ind w:firstLine="640"/>
        <w:rPr>
          <w:rStyle w:val="19"/>
          <w:rFonts w:hint="eastAsia" w:ascii="仿宋_GB2312" w:hAnsi="仿宋_GB2312" w:eastAsia="仿宋_GB2312" w:cs="仿宋_GB2312"/>
          <w:color w:val="auto"/>
          <w:sz w:val="32"/>
          <w:szCs w:val="32"/>
          <w:highlight w:val="none"/>
        </w:rPr>
      </w:pPr>
      <w:r>
        <w:rPr>
          <w:rStyle w:val="19"/>
          <w:rFonts w:hint="eastAsia" w:ascii="仿宋_GB2312" w:hAnsi="仿宋_GB2312" w:eastAsia="仿宋_GB2312" w:cs="仿宋_GB2312"/>
          <w:color w:val="auto"/>
          <w:sz w:val="32"/>
          <w:szCs w:val="32"/>
          <w:highlight w:val="none"/>
        </w:rPr>
        <w:t>4.风险内控合规一体化管理办法；</w:t>
      </w:r>
    </w:p>
    <w:p>
      <w:pPr>
        <w:pStyle w:val="18"/>
        <w:snapToGrid w:val="0"/>
        <w:spacing w:line="580" w:lineRule="exact"/>
        <w:ind w:firstLine="640"/>
        <w:rPr>
          <w:rStyle w:val="19"/>
          <w:rFonts w:hint="eastAsia" w:ascii="仿宋_GB2312" w:hAnsi="仿宋_GB2312" w:eastAsia="仿宋_GB2312" w:cs="仿宋_GB2312"/>
          <w:color w:val="auto"/>
          <w:sz w:val="32"/>
          <w:szCs w:val="32"/>
          <w:highlight w:val="none"/>
        </w:rPr>
      </w:pPr>
      <w:r>
        <w:rPr>
          <w:rStyle w:val="19"/>
          <w:rFonts w:hint="eastAsia" w:ascii="仿宋_GB2312" w:hAnsi="仿宋_GB2312" w:eastAsia="仿宋_GB2312" w:cs="仿宋_GB2312"/>
          <w:color w:val="auto"/>
          <w:sz w:val="32"/>
          <w:szCs w:val="32"/>
          <w:highlight w:val="none"/>
        </w:rPr>
        <w:t>5.风险内控合规一体化考核评价办法；</w:t>
      </w:r>
    </w:p>
    <w:p>
      <w:pPr>
        <w:pStyle w:val="18"/>
        <w:snapToGrid w:val="0"/>
        <w:spacing w:line="580" w:lineRule="exact"/>
        <w:ind w:firstLine="640"/>
        <w:rPr>
          <w:rStyle w:val="19"/>
          <w:rFonts w:hint="eastAsia" w:ascii="仿宋_GB2312" w:hAnsi="仿宋_GB2312" w:eastAsia="仿宋_GB2312" w:cs="仿宋_GB2312"/>
          <w:color w:val="auto"/>
          <w:sz w:val="32"/>
          <w:szCs w:val="32"/>
          <w:highlight w:val="none"/>
        </w:rPr>
      </w:pPr>
      <w:r>
        <w:rPr>
          <w:rStyle w:val="19"/>
          <w:rFonts w:hint="eastAsia" w:ascii="仿宋_GB2312" w:hAnsi="仿宋_GB2312" w:eastAsia="仿宋_GB2312" w:cs="仿宋_GB2312"/>
          <w:color w:val="auto"/>
          <w:sz w:val="32"/>
          <w:szCs w:val="32"/>
          <w:highlight w:val="none"/>
        </w:rPr>
        <w:t>6.合规</w:t>
      </w:r>
      <w:r>
        <w:rPr>
          <w:rStyle w:val="19"/>
          <w:rFonts w:hint="eastAsia" w:ascii="仿宋_GB2312" w:hAnsi="仿宋_GB2312" w:eastAsia="仿宋_GB2312" w:cs="仿宋_GB2312"/>
          <w:color w:val="auto"/>
          <w:sz w:val="32"/>
          <w:szCs w:val="32"/>
          <w:highlight w:val="none"/>
          <w:lang w:eastAsia="zh-CN"/>
        </w:rPr>
        <w:t>审查</w:t>
      </w:r>
      <w:r>
        <w:rPr>
          <w:rStyle w:val="19"/>
          <w:rFonts w:hint="eastAsia" w:ascii="仿宋_GB2312" w:hAnsi="仿宋_GB2312" w:eastAsia="仿宋_GB2312" w:cs="仿宋_GB2312"/>
          <w:color w:val="auto"/>
          <w:sz w:val="32"/>
          <w:szCs w:val="32"/>
          <w:highlight w:val="none"/>
        </w:rPr>
        <w:t>指引及合规管理风险库（重点领域）；</w:t>
      </w:r>
    </w:p>
    <w:p>
      <w:pPr>
        <w:pStyle w:val="18"/>
        <w:snapToGrid w:val="0"/>
        <w:spacing w:line="580" w:lineRule="exact"/>
        <w:ind w:firstLine="640"/>
        <w:rPr>
          <w:rStyle w:val="19"/>
          <w:rFonts w:hint="eastAsia" w:ascii="仿宋_GB2312" w:hAnsi="仿宋_GB2312" w:eastAsia="仿宋_GB2312" w:cs="仿宋_GB2312"/>
          <w:color w:val="auto"/>
          <w:sz w:val="32"/>
          <w:szCs w:val="32"/>
          <w:highlight w:val="none"/>
        </w:rPr>
      </w:pPr>
      <w:r>
        <w:rPr>
          <w:rStyle w:val="19"/>
          <w:rFonts w:hint="eastAsia" w:ascii="仿宋_GB2312" w:hAnsi="仿宋_GB2312" w:eastAsia="仿宋_GB2312" w:cs="仿宋_GB2312"/>
          <w:color w:val="auto"/>
          <w:sz w:val="32"/>
          <w:szCs w:val="32"/>
          <w:highlight w:val="none"/>
        </w:rPr>
        <w:t>7.风险内控合规一体化制度优化建议；</w:t>
      </w:r>
    </w:p>
    <w:p>
      <w:pPr>
        <w:pStyle w:val="18"/>
        <w:snapToGrid w:val="0"/>
        <w:spacing w:line="580" w:lineRule="exact"/>
        <w:ind w:firstLine="640"/>
        <w:rPr>
          <w:rStyle w:val="19"/>
          <w:rFonts w:hint="eastAsia" w:ascii="仿宋_GB2312" w:hAnsi="仿宋_GB2312" w:eastAsia="仿宋_GB2312" w:cs="仿宋_GB2312"/>
          <w:color w:val="auto"/>
          <w:sz w:val="32"/>
          <w:szCs w:val="32"/>
          <w:highlight w:val="none"/>
        </w:rPr>
      </w:pPr>
      <w:r>
        <w:rPr>
          <w:rStyle w:val="19"/>
          <w:rFonts w:hint="eastAsia" w:ascii="仿宋_GB2312" w:hAnsi="仿宋_GB2312" w:eastAsia="仿宋_GB2312" w:cs="仿宋_GB2312"/>
          <w:color w:val="auto"/>
          <w:sz w:val="32"/>
          <w:szCs w:val="32"/>
          <w:highlight w:val="none"/>
        </w:rPr>
        <w:t>8.风险内控合规一体化管理手册（含风险管理清单、流程框架、流程图、决策事项授权审批表、控制矩阵等）（重点领域）；</w:t>
      </w:r>
    </w:p>
    <w:p>
      <w:pPr>
        <w:pStyle w:val="18"/>
        <w:snapToGrid w:val="0"/>
        <w:spacing w:line="580" w:lineRule="exact"/>
        <w:ind w:firstLine="640"/>
        <w:rPr>
          <w:rStyle w:val="19"/>
          <w:rFonts w:hint="eastAsia" w:ascii="仿宋_GB2312" w:hAnsi="仿宋_GB2312" w:eastAsia="仿宋_GB2312" w:cs="仿宋_GB2312"/>
          <w:color w:val="auto"/>
          <w:sz w:val="32"/>
          <w:szCs w:val="32"/>
          <w:highlight w:val="none"/>
        </w:rPr>
      </w:pPr>
      <w:r>
        <w:rPr>
          <w:rStyle w:val="19"/>
          <w:rFonts w:hint="eastAsia" w:ascii="仿宋_GB2312" w:hAnsi="仿宋_GB2312" w:eastAsia="仿宋_GB2312" w:cs="仿宋_GB2312"/>
          <w:color w:val="auto"/>
          <w:sz w:val="32"/>
          <w:szCs w:val="32"/>
          <w:highlight w:val="none"/>
        </w:rPr>
        <w:t>9.</w:t>
      </w:r>
      <w:r>
        <w:rPr>
          <w:rFonts w:hint="eastAsia" w:ascii="仿宋_GB2312" w:hAnsi="仿宋_GB2312" w:eastAsia="仿宋_GB2312" w:cs="仿宋_GB2312"/>
          <w:color w:val="auto"/>
          <w:sz w:val="32"/>
          <w:szCs w:val="32"/>
          <w:highlight w:val="none"/>
          <w:lang w:eastAsia="zh-CN"/>
        </w:rPr>
        <w:t>重大经营风险事件或内控缺陷报告模板；</w:t>
      </w:r>
    </w:p>
    <w:p>
      <w:pPr>
        <w:pStyle w:val="18"/>
        <w:snapToGrid w:val="0"/>
        <w:spacing w:line="580" w:lineRule="exact"/>
        <w:ind w:firstLine="640"/>
        <w:rPr>
          <w:rStyle w:val="19"/>
          <w:rFonts w:hint="eastAsia" w:ascii="仿宋_GB2312" w:hAnsi="仿宋_GB2312" w:eastAsia="仿宋_GB2312" w:cs="仿宋_GB2312"/>
          <w:color w:val="auto"/>
          <w:sz w:val="32"/>
          <w:szCs w:val="32"/>
          <w:highlight w:val="none"/>
        </w:rPr>
      </w:pPr>
      <w:r>
        <w:rPr>
          <w:rStyle w:val="19"/>
          <w:rFonts w:hint="eastAsia" w:ascii="仿宋_GB2312" w:hAnsi="仿宋_GB2312" w:eastAsia="仿宋_GB2312" w:cs="仿宋_GB2312"/>
          <w:color w:val="auto"/>
          <w:sz w:val="32"/>
          <w:szCs w:val="32"/>
          <w:highlight w:val="none"/>
          <w:lang w:val="en-US" w:eastAsia="zh-CN"/>
        </w:rPr>
        <w:t>10.</w:t>
      </w:r>
      <w:r>
        <w:rPr>
          <w:rStyle w:val="19"/>
          <w:rFonts w:hint="eastAsia" w:ascii="仿宋_GB2312" w:hAnsi="仿宋_GB2312" w:eastAsia="仿宋_GB2312" w:cs="仿宋_GB2312"/>
          <w:color w:val="auto"/>
          <w:sz w:val="32"/>
          <w:szCs w:val="32"/>
          <w:highlight w:val="none"/>
        </w:rPr>
        <w:t>风险内控合规一体化年度报告模板；</w:t>
      </w:r>
    </w:p>
    <w:p>
      <w:pPr>
        <w:pStyle w:val="18"/>
        <w:snapToGrid w:val="0"/>
        <w:spacing w:line="580" w:lineRule="exact"/>
        <w:ind w:firstLine="640"/>
        <w:rPr>
          <w:rStyle w:val="19"/>
          <w:rFonts w:hint="eastAsia" w:ascii="仿宋_GB2312" w:hAnsi="仿宋_GB2312" w:eastAsia="仿宋_GB2312" w:cs="仿宋_GB2312"/>
          <w:color w:val="auto"/>
          <w:sz w:val="32"/>
          <w:szCs w:val="32"/>
          <w:highlight w:val="none"/>
        </w:rPr>
      </w:pPr>
      <w:r>
        <w:rPr>
          <w:rStyle w:val="19"/>
          <w:rFonts w:hint="eastAsia" w:ascii="仿宋_GB2312" w:hAnsi="仿宋_GB2312" w:eastAsia="仿宋_GB2312" w:cs="仿宋_GB2312"/>
          <w:color w:val="auto"/>
          <w:sz w:val="32"/>
          <w:szCs w:val="32"/>
          <w:highlight w:val="none"/>
        </w:rPr>
        <w:t>1</w:t>
      </w:r>
      <w:r>
        <w:rPr>
          <w:rStyle w:val="19"/>
          <w:rFonts w:hint="eastAsia" w:ascii="仿宋_GB2312" w:hAnsi="仿宋_GB2312" w:eastAsia="仿宋_GB2312" w:cs="仿宋_GB2312"/>
          <w:color w:val="auto"/>
          <w:sz w:val="32"/>
          <w:szCs w:val="32"/>
          <w:highlight w:val="none"/>
          <w:lang w:val="en-US" w:eastAsia="zh-CN"/>
        </w:rPr>
        <w:t>1</w:t>
      </w:r>
      <w:r>
        <w:rPr>
          <w:rStyle w:val="19"/>
          <w:rFonts w:hint="eastAsia" w:ascii="仿宋_GB2312" w:hAnsi="仿宋_GB2312" w:eastAsia="仿宋_GB2312" w:cs="仿宋_GB2312"/>
          <w:color w:val="auto"/>
          <w:sz w:val="32"/>
          <w:szCs w:val="32"/>
          <w:highlight w:val="none"/>
        </w:rPr>
        <w:t>.响应人根据项目经验可以提供的其他项目成果。</w:t>
      </w:r>
    </w:p>
    <w:p>
      <w:pPr>
        <w:widowControl/>
        <w:snapToGrid w:val="0"/>
        <w:spacing w:line="580" w:lineRule="exact"/>
        <w:ind w:firstLine="640" w:firstLineChars="200"/>
        <w:rPr>
          <w:rFonts w:hint="eastAsia" w:ascii="黑体" w:hAnsi="黑体" w:eastAsia="黑体" w:cs="黑体"/>
          <w:bCs/>
          <w:color w:val="auto"/>
          <w:kern w:val="0"/>
          <w:sz w:val="32"/>
          <w:szCs w:val="32"/>
          <w:highlight w:val="none"/>
        </w:rPr>
      </w:pPr>
    </w:p>
    <w:p>
      <w:pPr>
        <w:widowControl/>
        <w:snapToGrid w:val="0"/>
        <w:spacing w:line="580" w:lineRule="exact"/>
        <w:ind w:firstLine="640" w:firstLineChars="200"/>
        <w:rPr>
          <w:rFonts w:hint="eastAsia" w:ascii="黑体" w:hAnsi="黑体" w:eastAsia="黑体" w:cs="黑体"/>
          <w:bCs/>
          <w:color w:val="auto"/>
          <w:kern w:val="0"/>
          <w:sz w:val="32"/>
          <w:szCs w:val="32"/>
          <w:highlight w:val="none"/>
        </w:rPr>
      </w:pPr>
    </w:p>
    <w:p>
      <w:pPr>
        <w:widowControl/>
        <w:snapToGrid w:val="0"/>
        <w:spacing w:line="580" w:lineRule="exact"/>
        <w:ind w:firstLine="640" w:firstLineChars="200"/>
        <w:rPr>
          <w:rFonts w:hint="eastAsia" w:ascii="黑体" w:hAnsi="黑体" w:eastAsia="黑体" w:cs="黑体"/>
          <w:bCs/>
          <w:color w:val="auto"/>
          <w:kern w:val="0"/>
          <w:sz w:val="32"/>
          <w:szCs w:val="32"/>
          <w:highlight w:val="none"/>
        </w:rPr>
      </w:pPr>
    </w:p>
    <w:p>
      <w:pPr>
        <w:widowControl/>
        <w:snapToGrid w:val="0"/>
        <w:spacing w:line="580" w:lineRule="exact"/>
        <w:jc w:val="both"/>
        <w:rPr>
          <w:rFonts w:hint="eastAsia" w:ascii="方正小标宋简体" w:hAnsi="方正小标宋简体" w:eastAsia="方正小标宋简体" w:cs="方正小标宋简体"/>
          <w:bCs/>
          <w:color w:val="auto"/>
          <w:kern w:val="0"/>
          <w:sz w:val="44"/>
          <w:szCs w:val="44"/>
          <w:highlight w:val="none"/>
        </w:rPr>
      </w:pPr>
    </w:p>
    <w:p>
      <w:pPr>
        <w:widowControl/>
        <w:snapToGrid w:val="0"/>
        <w:spacing w:line="580" w:lineRule="exact"/>
        <w:ind w:firstLine="880" w:firstLineChars="200"/>
        <w:jc w:val="center"/>
        <w:rPr>
          <w:rFonts w:hint="eastAsia" w:ascii="方正小标宋简体" w:hAnsi="方正小标宋简体" w:eastAsia="方正小标宋简体" w:cs="方正小标宋简体"/>
          <w:bCs/>
          <w:color w:val="auto"/>
          <w:kern w:val="0"/>
          <w:sz w:val="44"/>
          <w:szCs w:val="44"/>
          <w:highlight w:val="none"/>
        </w:rPr>
      </w:pPr>
      <w:r>
        <w:rPr>
          <w:rFonts w:hint="eastAsia" w:ascii="方正小标宋简体" w:hAnsi="方正小标宋简体" w:eastAsia="方正小标宋简体" w:cs="方正小标宋简体"/>
          <w:bCs/>
          <w:color w:val="auto"/>
          <w:kern w:val="0"/>
          <w:sz w:val="44"/>
          <w:szCs w:val="44"/>
          <w:highlight w:val="none"/>
        </w:rPr>
        <w:t>第三编 响应须知</w:t>
      </w:r>
    </w:p>
    <w:p>
      <w:pPr>
        <w:widowControl/>
        <w:snapToGrid w:val="0"/>
        <w:spacing w:line="580" w:lineRule="exact"/>
        <w:ind w:firstLine="640" w:firstLineChars="200"/>
        <w:rPr>
          <w:rFonts w:hint="eastAsia" w:ascii="黑体" w:hAnsi="黑体" w:eastAsia="黑体" w:cs="黑体"/>
          <w:bCs/>
          <w:color w:val="auto"/>
          <w:kern w:val="0"/>
          <w:sz w:val="32"/>
          <w:szCs w:val="32"/>
          <w:highlight w:val="none"/>
        </w:rPr>
      </w:pPr>
    </w:p>
    <w:p>
      <w:pPr>
        <w:widowControl/>
        <w:snapToGrid w:val="0"/>
        <w:spacing w:line="580" w:lineRule="exact"/>
        <w:ind w:firstLine="640" w:firstLineChars="200"/>
        <w:rPr>
          <w:rFonts w:hint="eastAsia" w:ascii="黑体" w:hAnsi="黑体" w:eastAsia="黑体" w:cs="黑体"/>
          <w:bCs/>
          <w:color w:val="auto"/>
          <w:kern w:val="0"/>
          <w:sz w:val="32"/>
          <w:szCs w:val="32"/>
          <w:highlight w:val="none"/>
        </w:rPr>
      </w:pPr>
      <w:r>
        <w:rPr>
          <w:rFonts w:hint="eastAsia" w:ascii="黑体" w:hAnsi="黑体" w:eastAsia="黑体" w:cs="黑体"/>
          <w:bCs/>
          <w:color w:val="auto"/>
          <w:kern w:val="0"/>
          <w:sz w:val="32"/>
          <w:szCs w:val="32"/>
          <w:highlight w:val="none"/>
        </w:rPr>
        <w:t>一、响应人资格要求</w:t>
      </w:r>
    </w:p>
    <w:p>
      <w:pPr>
        <w:widowControl/>
        <w:snapToGrid w:val="0"/>
        <w:spacing w:line="580" w:lineRule="exact"/>
        <w:ind w:firstLine="656" w:firstLineChars="200"/>
        <w:rPr>
          <w:rFonts w:hint="eastAsia" w:ascii="仿宋_GB2312" w:hAnsi="仿宋_GB2312" w:eastAsia="仿宋_GB2312" w:cs="仿宋_GB2312"/>
          <w:color w:val="auto"/>
          <w:spacing w:val="4"/>
          <w:kern w:val="0"/>
          <w:sz w:val="32"/>
          <w:szCs w:val="32"/>
          <w:highlight w:val="none"/>
        </w:rPr>
      </w:pPr>
      <w:r>
        <w:rPr>
          <w:rFonts w:hint="eastAsia" w:ascii="仿宋_GB2312" w:hAnsi="仿宋_GB2312" w:eastAsia="仿宋_GB2312" w:cs="仿宋_GB2312"/>
          <w:color w:val="auto"/>
          <w:spacing w:val="4"/>
          <w:kern w:val="0"/>
          <w:sz w:val="32"/>
          <w:szCs w:val="32"/>
          <w:highlight w:val="none"/>
        </w:rPr>
        <w:t>1.在中华人民共和国境内注册，具有独立法人资格，经营范围应包含咨询类服务业务；</w:t>
      </w:r>
    </w:p>
    <w:p>
      <w:pPr>
        <w:widowControl/>
        <w:snapToGrid w:val="0"/>
        <w:spacing w:line="580" w:lineRule="exact"/>
        <w:ind w:firstLine="656" w:firstLineChars="200"/>
        <w:rPr>
          <w:rFonts w:hint="eastAsia" w:ascii="仿宋_GB2312" w:hAnsi="仿宋_GB2312" w:eastAsia="仿宋_GB2312" w:cs="仿宋_GB2312"/>
          <w:color w:val="auto"/>
          <w:spacing w:val="4"/>
          <w:kern w:val="0"/>
          <w:sz w:val="32"/>
          <w:szCs w:val="32"/>
          <w:highlight w:val="none"/>
        </w:rPr>
      </w:pPr>
      <w:r>
        <w:rPr>
          <w:rFonts w:hint="eastAsia" w:ascii="仿宋_GB2312" w:hAnsi="仿宋_GB2312" w:eastAsia="仿宋_GB2312" w:cs="仿宋_GB2312"/>
          <w:color w:val="auto"/>
          <w:spacing w:val="4"/>
          <w:kern w:val="0"/>
          <w:sz w:val="32"/>
          <w:szCs w:val="32"/>
          <w:highlight w:val="none"/>
        </w:rPr>
        <w:t>2.具有履行合同所必须的设备和专业技术能力；</w:t>
      </w:r>
    </w:p>
    <w:p>
      <w:pPr>
        <w:widowControl/>
        <w:snapToGrid w:val="0"/>
        <w:spacing w:line="580" w:lineRule="exact"/>
        <w:ind w:firstLine="656" w:firstLineChars="200"/>
        <w:rPr>
          <w:rFonts w:hint="eastAsia" w:ascii="仿宋_GB2312" w:hAnsi="仿宋_GB2312" w:eastAsia="仿宋_GB2312" w:cs="仿宋_GB2312"/>
          <w:color w:val="auto"/>
          <w:spacing w:val="4"/>
          <w:kern w:val="0"/>
          <w:sz w:val="32"/>
          <w:szCs w:val="32"/>
          <w:highlight w:val="none"/>
        </w:rPr>
      </w:pPr>
      <w:r>
        <w:rPr>
          <w:rFonts w:hint="eastAsia" w:ascii="仿宋_GB2312" w:hAnsi="仿宋_GB2312" w:eastAsia="仿宋_GB2312" w:cs="仿宋_GB2312"/>
          <w:color w:val="auto"/>
          <w:spacing w:val="4"/>
          <w:kern w:val="0"/>
          <w:sz w:val="32"/>
          <w:szCs w:val="32"/>
          <w:highlight w:val="none"/>
        </w:rPr>
        <w:t>3.不存在不诚信行为；不存在出具虚假或重大失实的业务报告；不存在违反中介服务合同约定给委托方造成重大损失；</w:t>
      </w:r>
    </w:p>
    <w:p>
      <w:pPr>
        <w:widowControl/>
        <w:snapToGrid w:val="0"/>
        <w:spacing w:line="580" w:lineRule="exact"/>
        <w:ind w:firstLine="656" w:firstLineChars="200"/>
        <w:rPr>
          <w:rFonts w:hint="eastAsia" w:ascii="仿宋_GB2312" w:hAnsi="仿宋_GB2312" w:eastAsia="仿宋_GB2312" w:cs="仿宋_GB2312"/>
          <w:color w:val="auto"/>
          <w:spacing w:val="4"/>
          <w:kern w:val="0"/>
          <w:sz w:val="32"/>
          <w:szCs w:val="32"/>
          <w:highlight w:val="none"/>
        </w:rPr>
      </w:pPr>
      <w:r>
        <w:rPr>
          <w:rFonts w:hint="eastAsia" w:ascii="仿宋_GB2312" w:hAnsi="仿宋_GB2312" w:eastAsia="仿宋_GB2312" w:cs="仿宋_GB2312"/>
          <w:color w:val="auto"/>
          <w:spacing w:val="4"/>
          <w:kern w:val="0"/>
          <w:sz w:val="32"/>
          <w:szCs w:val="32"/>
          <w:highlight w:val="none"/>
        </w:rPr>
        <w:t>4.项目组成员均具有风险、内控或合规管理咨询工作经验，具备良好的专业能力和沟通能力。项目负责人须从事风险、内控或合规管理咨询工作年限不低于</w:t>
      </w:r>
      <w:r>
        <w:rPr>
          <w:rFonts w:hint="eastAsia" w:ascii="仿宋_GB2312" w:hAnsi="仿宋_GB2312" w:eastAsia="仿宋_GB2312" w:cs="仿宋_GB2312"/>
          <w:color w:val="auto"/>
          <w:spacing w:val="4"/>
          <w:kern w:val="0"/>
          <w:sz w:val="32"/>
          <w:szCs w:val="32"/>
          <w:highlight w:val="none"/>
          <w:lang w:val="en-US" w:eastAsia="zh-CN"/>
        </w:rPr>
        <w:t>5</w:t>
      </w:r>
      <w:r>
        <w:rPr>
          <w:rFonts w:hint="eastAsia" w:ascii="仿宋_GB2312" w:hAnsi="仿宋_GB2312" w:eastAsia="仿宋_GB2312" w:cs="仿宋_GB2312"/>
          <w:color w:val="auto"/>
          <w:spacing w:val="4"/>
          <w:kern w:val="0"/>
          <w:sz w:val="32"/>
          <w:szCs w:val="32"/>
          <w:highlight w:val="none"/>
        </w:rPr>
        <w:t>年；</w:t>
      </w:r>
    </w:p>
    <w:p>
      <w:pPr>
        <w:widowControl/>
        <w:snapToGrid w:val="0"/>
        <w:spacing w:line="580" w:lineRule="exact"/>
        <w:ind w:firstLine="656" w:firstLineChars="200"/>
        <w:rPr>
          <w:rFonts w:ascii="仿宋_GB2312" w:hAnsi="仿宋_GB2312" w:eastAsia="仿宋_GB2312" w:cs="仿宋_GB2312"/>
          <w:color w:val="auto"/>
          <w:spacing w:val="4"/>
          <w:kern w:val="0"/>
          <w:sz w:val="32"/>
          <w:szCs w:val="32"/>
          <w:highlight w:val="none"/>
        </w:rPr>
      </w:pPr>
      <w:r>
        <w:rPr>
          <w:rFonts w:hint="eastAsia" w:ascii="仿宋_GB2312" w:hAnsi="仿宋_GB2312" w:eastAsia="仿宋_GB2312" w:cs="仿宋_GB2312"/>
          <w:color w:val="auto"/>
          <w:spacing w:val="4"/>
          <w:kern w:val="0"/>
          <w:sz w:val="32"/>
          <w:szCs w:val="32"/>
          <w:highlight w:val="none"/>
        </w:rPr>
        <w:t>5.项目组成员都必须具备良好的职业操守，不存在违反职业操守的不良记录，工作过程中应当严格保守我公司商业秘密。</w:t>
      </w:r>
    </w:p>
    <w:p>
      <w:pPr>
        <w:widowControl/>
        <w:snapToGrid w:val="0"/>
        <w:spacing w:line="580" w:lineRule="exact"/>
        <w:ind w:firstLine="656" w:firstLineChars="200"/>
        <w:rPr>
          <w:rFonts w:hint="eastAsia" w:ascii="仿宋_GB2312" w:hAnsi="仿宋_GB2312" w:eastAsia="仿宋_GB2312" w:cs="仿宋_GB2312"/>
          <w:color w:val="auto"/>
          <w:spacing w:val="4"/>
          <w:kern w:val="0"/>
          <w:sz w:val="32"/>
          <w:szCs w:val="32"/>
          <w:highlight w:val="none"/>
        </w:rPr>
      </w:pPr>
      <w:r>
        <w:rPr>
          <w:rFonts w:hint="eastAsia" w:ascii="仿宋_GB2312" w:hAnsi="仿宋_GB2312" w:eastAsia="仿宋_GB2312" w:cs="仿宋_GB2312"/>
          <w:color w:val="auto"/>
          <w:spacing w:val="4"/>
          <w:kern w:val="0"/>
          <w:sz w:val="32"/>
          <w:szCs w:val="32"/>
          <w:highlight w:val="none"/>
        </w:rPr>
        <w:t>6.本项目不接受联合体投标；</w:t>
      </w:r>
    </w:p>
    <w:p>
      <w:pPr>
        <w:widowControl/>
        <w:snapToGrid w:val="0"/>
        <w:spacing w:line="580" w:lineRule="exact"/>
        <w:ind w:firstLine="656" w:firstLineChars="200"/>
        <w:rPr>
          <w:rFonts w:hint="eastAsia" w:ascii="黑体" w:hAnsi="黑体" w:eastAsia="黑体" w:cs="黑体"/>
          <w:bCs/>
          <w:color w:val="auto"/>
          <w:kern w:val="0"/>
          <w:sz w:val="32"/>
          <w:szCs w:val="32"/>
          <w:highlight w:val="none"/>
        </w:rPr>
      </w:pPr>
      <w:r>
        <w:rPr>
          <w:rFonts w:hint="eastAsia" w:ascii="仿宋_GB2312" w:hAnsi="仿宋_GB2312" w:eastAsia="仿宋_GB2312" w:cs="仿宋_GB2312"/>
          <w:color w:val="auto"/>
          <w:spacing w:val="4"/>
          <w:kern w:val="0"/>
          <w:sz w:val="32"/>
          <w:szCs w:val="32"/>
          <w:highlight w:val="none"/>
        </w:rPr>
        <w:t>7.根据咨询服务的实际需要确定的其他必要条件。</w:t>
      </w:r>
    </w:p>
    <w:p>
      <w:pPr>
        <w:widowControl/>
        <w:snapToGrid w:val="0"/>
        <w:spacing w:line="580" w:lineRule="exact"/>
        <w:ind w:firstLine="640" w:firstLineChars="200"/>
        <w:rPr>
          <w:rFonts w:hint="eastAsia" w:ascii="黑体" w:hAnsi="黑体" w:eastAsia="黑体" w:cs="黑体"/>
          <w:bCs/>
          <w:color w:val="auto"/>
          <w:kern w:val="0"/>
          <w:sz w:val="32"/>
          <w:szCs w:val="32"/>
          <w:highlight w:val="none"/>
        </w:rPr>
      </w:pPr>
      <w:r>
        <w:rPr>
          <w:rFonts w:hint="eastAsia" w:ascii="黑体" w:hAnsi="黑体" w:eastAsia="黑体" w:cs="黑体"/>
          <w:bCs/>
          <w:color w:val="auto"/>
          <w:kern w:val="0"/>
          <w:sz w:val="32"/>
          <w:szCs w:val="32"/>
          <w:highlight w:val="none"/>
        </w:rPr>
        <w:t>二、响应文件内容</w:t>
      </w:r>
    </w:p>
    <w:p>
      <w:pPr>
        <w:widowControl/>
        <w:snapToGrid w:val="0"/>
        <w:spacing w:line="580" w:lineRule="exact"/>
        <w:ind w:firstLine="640" w:firstLineChars="200"/>
        <w:rPr>
          <w:rFonts w:hint="eastAsia" w:ascii="仿宋_GB2312" w:hAnsi="仿宋_GB2312" w:eastAsia="仿宋_GB2312" w:cs="仿宋_GB2312"/>
          <w:b/>
          <w:color w:val="auto"/>
          <w:kern w:val="0"/>
          <w:sz w:val="32"/>
          <w:szCs w:val="32"/>
          <w:highlight w:val="none"/>
        </w:rPr>
      </w:pPr>
      <w:r>
        <w:rPr>
          <w:rFonts w:hint="eastAsia" w:ascii="仿宋_GB2312" w:hAnsi="仿宋_GB2312" w:eastAsia="仿宋_GB2312" w:cs="仿宋_GB2312"/>
          <w:bCs/>
          <w:color w:val="auto"/>
          <w:kern w:val="0"/>
          <w:sz w:val="32"/>
          <w:szCs w:val="32"/>
          <w:highlight w:val="none"/>
        </w:rPr>
        <w:t>响应文件应包含以下内容：</w:t>
      </w:r>
    </w:p>
    <w:p>
      <w:pPr>
        <w:widowControl/>
        <w:snapToGrid w:val="0"/>
        <w:spacing w:line="580" w:lineRule="exact"/>
        <w:ind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1.响应文件（附件1）。</w:t>
      </w:r>
    </w:p>
    <w:p>
      <w:pPr>
        <w:widowControl/>
        <w:snapToGrid w:val="0"/>
        <w:spacing w:line="580" w:lineRule="exact"/>
        <w:ind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2.报价函（附件2）。须明确总服务费报价。</w:t>
      </w:r>
    </w:p>
    <w:p>
      <w:pPr>
        <w:widowControl/>
        <w:snapToGrid w:val="0"/>
        <w:spacing w:line="580" w:lineRule="exact"/>
        <w:ind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3.服务方案。内容主要包括：</w:t>
      </w:r>
    </w:p>
    <w:p>
      <w:pPr>
        <w:widowControl/>
        <w:snapToGrid w:val="0"/>
        <w:spacing w:line="580" w:lineRule="exact"/>
        <w:ind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（1）响应人基本情况。</w:t>
      </w:r>
    </w:p>
    <w:p>
      <w:pPr>
        <w:widowControl/>
        <w:snapToGrid w:val="0"/>
        <w:spacing w:line="580" w:lineRule="exact"/>
        <w:ind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2）拟指派服务团队组成及成员情况。包括项目负责人近三年服务过的单位（特别是上市公司、国有大中型企业、政府机关、事业单位等）和所主办的重要项目（请选取有代表性的案例，并注明标的金额、服务内容，须有相关文件证明是项目负责人主办的）等。</w:t>
      </w:r>
    </w:p>
    <w:p>
      <w:pPr>
        <w:widowControl/>
        <w:snapToGrid w:val="0"/>
        <w:spacing w:line="580" w:lineRule="exact"/>
        <w:ind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（3）服务具体方案（包括但不限于服务内容、工作开展方式</w:t>
      </w:r>
      <w:r>
        <w:rPr>
          <w:rFonts w:hint="eastAsia" w:ascii="仿宋_GB2312" w:hAnsi="仿宋_GB2312" w:eastAsia="仿宋_GB2312" w:cs="仿宋_GB2312"/>
          <w:color w:val="auto"/>
          <w:kern w:val="0"/>
          <w:sz w:val="32"/>
          <w:szCs w:val="32"/>
          <w:highlight w:val="none"/>
          <w:lang w:eastAsia="zh-CN"/>
        </w:rPr>
        <w:t>、</w:t>
      </w:r>
      <w:r>
        <w:rPr>
          <w:rFonts w:hint="eastAsia" w:ascii="仿宋_GB2312" w:hAnsi="仿宋_GB2312" w:eastAsia="仿宋_GB2312" w:cs="仿宋_GB2312"/>
          <w:color w:val="auto"/>
          <w:kern w:val="0"/>
          <w:sz w:val="32"/>
          <w:szCs w:val="32"/>
          <w:highlight w:val="none"/>
        </w:rPr>
        <w:t>提交成果等）。</w:t>
      </w:r>
    </w:p>
    <w:p>
      <w:pPr>
        <w:widowControl/>
        <w:snapToGrid w:val="0"/>
        <w:spacing w:line="580" w:lineRule="exact"/>
        <w:ind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4.承诺函。须对是否完全同意和响应</w:t>
      </w:r>
      <w:r>
        <w:rPr>
          <w:rFonts w:hint="eastAsia" w:ascii="仿宋_GB2312" w:hAnsi="仿宋_GB2312" w:eastAsia="仿宋_GB2312" w:cs="仿宋_GB2312"/>
          <w:color w:val="auto"/>
          <w:kern w:val="0"/>
          <w:sz w:val="32"/>
          <w:szCs w:val="32"/>
          <w:highlight w:val="none"/>
          <w:lang w:eastAsia="zh-CN"/>
        </w:rPr>
        <w:t>采购人</w:t>
      </w:r>
      <w:r>
        <w:rPr>
          <w:rFonts w:hint="eastAsia" w:ascii="仿宋_GB2312" w:hAnsi="仿宋_GB2312" w:eastAsia="仿宋_GB2312" w:cs="仿宋_GB2312"/>
          <w:color w:val="auto"/>
          <w:kern w:val="0"/>
          <w:sz w:val="32"/>
          <w:szCs w:val="32"/>
          <w:highlight w:val="none"/>
        </w:rPr>
        <w:t>对服务期限、方式、内容等要求作出明确、具体的承诺。同时说明不能完全响应广州市自来水工程有限公司服务要求，或承诺超出广州市自来水工程有限公司服务要求的具体内容。</w:t>
      </w:r>
    </w:p>
    <w:p>
      <w:pPr>
        <w:widowControl/>
        <w:snapToGrid w:val="0"/>
        <w:spacing w:line="580" w:lineRule="exact"/>
        <w:ind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5.授权委托书。</w:t>
      </w:r>
    </w:p>
    <w:p>
      <w:pPr>
        <w:widowControl/>
        <w:snapToGrid w:val="0"/>
        <w:spacing w:line="580" w:lineRule="exact"/>
        <w:ind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6.响应人营业执照副本复印件加盖公章；服务团队成员资格、资历证书或证明复印件加盖公章。</w:t>
      </w:r>
    </w:p>
    <w:p>
      <w:pPr>
        <w:widowControl/>
        <w:snapToGrid w:val="0"/>
        <w:spacing w:line="580" w:lineRule="exact"/>
        <w:ind w:firstLine="640" w:firstLineChars="200"/>
        <w:rPr>
          <w:rFonts w:hint="eastAsia" w:ascii="黑体" w:hAnsi="黑体" w:eastAsia="黑体" w:cs="黑体"/>
          <w:color w:val="auto"/>
          <w:kern w:val="0"/>
          <w:sz w:val="32"/>
          <w:szCs w:val="32"/>
          <w:highlight w:val="none"/>
        </w:rPr>
      </w:pPr>
      <w:r>
        <w:rPr>
          <w:rFonts w:hint="eastAsia" w:ascii="仿宋_GB2312" w:hAnsi="仿宋_GB2312" w:eastAsia="仿宋_GB2312" w:cs="仿宋_GB2312"/>
          <w:color w:val="auto"/>
          <w:kern w:val="0"/>
          <w:sz w:val="32"/>
          <w:szCs w:val="32"/>
          <w:highlight w:val="none"/>
        </w:rPr>
        <w:t>7.响应人提供的其它文件。</w:t>
      </w:r>
    </w:p>
    <w:p>
      <w:pPr>
        <w:widowControl/>
        <w:snapToGrid w:val="0"/>
        <w:spacing w:line="580" w:lineRule="exact"/>
        <w:ind w:firstLine="640" w:firstLineChars="200"/>
        <w:rPr>
          <w:rFonts w:hint="eastAsia" w:ascii="黑体" w:hAnsi="黑体" w:eastAsia="黑体" w:cs="黑体"/>
          <w:color w:val="auto"/>
          <w:kern w:val="0"/>
          <w:sz w:val="32"/>
          <w:szCs w:val="32"/>
          <w:highlight w:val="none"/>
        </w:rPr>
      </w:pPr>
      <w:r>
        <w:rPr>
          <w:rFonts w:hint="eastAsia" w:ascii="黑体" w:hAnsi="黑体" w:eastAsia="黑体" w:cs="黑体"/>
          <w:color w:val="auto"/>
          <w:kern w:val="0"/>
          <w:sz w:val="32"/>
          <w:szCs w:val="32"/>
          <w:highlight w:val="none"/>
        </w:rPr>
        <w:t>三、响应文件要求</w:t>
      </w:r>
    </w:p>
    <w:p>
      <w:pPr>
        <w:widowControl/>
        <w:snapToGrid w:val="0"/>
        <w:spacing w:line="580" w:lineRule="exact"/>
        <w:ind w:firstLine="640" w:firstLineChars="200"/>
        <w:rPr>
          <w:rFonts w:hint="eastAsia" w:ascii="仿宋_GB2312" w:hAnsi="仿宋_GB2312" w:eastAsia="仿宋_GB2312" w:cs="仿宋_GB2312"/>
          <w:bCs/>
          <w:color w:val="auto"/>
          <w:kern w:val="0"/>
          <w:sz w:val="32"/>
          <w:szCs w:val="32"/>
          <w:highlight w:val="none"/>
        </w:rPr>
      </w:pPr>
      <w:r>
        <w:rPr>
          <w:rFonts w:hint="eastAsia" w:ascii="仿宋_GB2312" w:hAnsi="仿宋_GB2312" w:eastAsia="仿宋_GB2312" w:cs="仿宋_GB2312"/>
          <w:color w:val="auto"/>
          <w:kern w:val="0"/>
          <w:sz w:val="32"/>
          <w:szCs w:val="32"/>
          <w:highlight w:val="none"/>
        </w:rPr>
        <w:t>1.响应人提交的响应文件应一式两份。响应文件所包含文件材料均须由响应人加盖公章，</w:t>
      </w:r>
      <w:r>
        <w:rPr>
          <w:rFonts w:hint="eastAsia" w:ascii="仿宋_GB2312" w:hAnsi="仿宋_GB2312" w:eastAsia="仿宋_GB2312" w:cs="仿宋_GB2312"/>
          <w:b/>
          <w:color w:val="auto"/>
          <w:kern w:val="0"/>
          <w:sz w:val="32"/>
          <w:szCs w:val="32"/>
          <w:highlight w:val="none"/>
        </w:rPr>
        <w:t>材料将作为评分的重要依据，响应人应据实提供,广州市自来水工程有限公司将会逐一核查材料真实性，如发现作假，取消响应资格。</w:t>
      </w:r>
      <w:r>
        <w:rPr>
          <w:rFonts w:hint="eastAsia" w:ascii="仿宋_GB2312" w:hAnsi="仿宋_GB2312" w:eastAsia="仿宋_GB2312" w:cs="仿宋_GB2312"/>
          <w:bCs/>
          <w:color w:val="auto"/>
          <w:kern w:val="0"/>
          <w:sz w:val="32"/>
          <w:szCs w:val="32"/>
          <w:highlight w:val="none"/>
        </w:rPr>
        <w:t>其中业绩及案例应提供相关证明文件（加盖公章）以备核查。</w:t>
      </w:r>
    </w:p>
    <w:p>
      <w:pPr>
        <w:widowControl/>
        <w:snapToGrid w:val="0"/>
        <w:spacing w:line="580" w:lineRule="exact"/>
        <w:ind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2.所有响应文件必须装入密封的信封或包装，在信封或包装上骑缝加盖公章，并填写响应文件资料清单，</w:t>
      </w:r>
      <w:r>
        <w:rPr>
          <w:rFonts w:hint="eastAsia" w:ascii="仿宋_GB2312" w:hAnsi="仿宋_GB2312" w:eastAsia="仿宋_GB2312" w:cs="仿宋_GB2312"/>
          <w:b/>
          <w:bCs/>
          <w:color w:val="auto"/>
          <w:kern w:val="0"/>
          <w:sz w:val="32"/>
          <w:szCs w:val="32"/>
          <w:highlight w:val="none"/>
        </w:rPr>
        <w:t>采购人不接受未按上述要求封装的响应文件。</w:t>
      </w:r>
      <w:r>
        <w:rPr>
          <w:rFonts w:hint="eastAsia" w:ascii="仿宋_GB2312" w:hAnsi="仿宋_GB2312" w:eastAsia="仿宋_GB2312" w:cs="仿宋_GB2312"/>
          <w:color w:val="auto"/>
          <w:kern w:val="0"/>
          <w:sz w:val="32"/>
          <w:szCs w:val="32"/>
          <w:highlight w:val="none"/>
        </w:rPr>
        <w:t>响应文件封面上写明：</w:t>
      </w:r>
    </w:p>
    <w:p>
      <w:pPr>
        <w:widowControl/>
        <w:snapToGrid w:val="0"/>
        <w:spacing w:line="580" w:lineRule="exact"/>
        <w:ind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（1）“</w:t>
      </w:r>
      <w:r>
        <w:rPr>
          <w:rFonts w:hint="eastAsia" w:ascii="仿宋_GB2312" w:hAnsi="仿宋_GB2312" w:eastAsia="仿宋_GB2312" w:cs="仿宋_GB2312"/>
          <w:color w:val="auto"/>
          <w:sz w:val="32"/>
          <w:szCs w:val="32"/>
          <w:highlight w:val="none"/>
        </w:rPr>
        <w:t>广州市自来水工程有限公司</w:t>
      </w:r>
      <w:r>
        <w:rPr>
          <w:rFonts w:hint="eastAsia" w:ascii="仿宋_GB2312" w:hAnsi="仿宋_GB2312" w:eastAsia="仿宋_GB2312" w:cs="仿宋_GB2312"/>
          <w:color w:val="auto"/>
          <w:kern w:val="0"/>
          <w:sz w:val="32"/>
          <w:szCs w:val="32"/>
          <w:highlight w:val="none"/>
        </w:rPr>
        <w:t>合规管理体系建设及风险、内控、合规三体系整合建设咨询服务采购</w:t>
      </w:r>
      <w:r>
        <w:rPr>
          <w:rFonts w:hint="eastAsia" w:ascii="仿宋_GB2312" w:hAnsi="仿宋_GB2312" w:eastAsia="仿宋_GB2312" w:cs="仿宋_GB2312"/>
          <w:color w:val="auto"/>
          <w:sz w:val="32"/>
          <w:szCs w:val="32"/>
          <w:highlight w:val="none"/>
        </w:rPr>
        <w:t>项目</w:t>
      </w:r>
      <w:r>
        <w:rPr>
          <w:rFonts w:hint="eastAsia" w:ascii="仿宋_GB2312" w:hAnsi="仿宋_GB2312" w:eastAsia="仿宋_GB2312" w:cs="仿宋_GB2312"/>
          <w:color w:val="auto"/>
          <w:kern w:val="0"/>
          <w:sz w:val="32"/>
          <w:szCs w:val="32"/>
          <w:highlight w:val="none"/>
        </w:rPr>
        <w:t>响应文件”字样。</w:t>
      </w:r>
    </w:p>
    <w:p>
      <w:pPr>
        <w:widowControl/>
        <w:snapToGrid w:val="0"/>
        <w:spacing w:line="580" w:lineRule="exact"/>
        <w:ind w:firstLine="640" w:firstLineChars="200"/>
        <w:rPr>
          <w:rFonts w:hint="eastAsia" w:ascii="黑体" w:hAnsi="黑体" w:eastAsia="黑体" w:cs="黑体"/>
          <w:bCs/>
          <w:color w:val="auto"/>
          <w:kern w:val="0"/>
          <w:sz w:val="32"/>
          <w:szCs w:val="32"/>
          <w:highlight w:val="none"/>
        </w:rPr>
      </w:pPr>
      <w:r>
        <w:rPr>
          <w:rFonts w:hint="eastAsia" w:ascii="仿宋_GB2312" w:hAnsi="仿宋_GB2312" w:eastAsia="仿宋_GB2312" w:cs="仿宋_GB2312"/>
          <w:color w:val="auto"/>
          <w:kern w:val="0"/>
          <w:sz w:val="32"/>
          <w:szCs w:val="32"/>
          <w:highlight w:val="none"/>
        </w:rPr>
        <w:t>（2）响应人名称、地址、联系人及联系电话。</w:t>
      </w:r>
    </w:p>
    <w:p>
      <w:pPr>
        <w:widowControl/>
        <w:snapToGrid w:val="0"/>
        <w:spacing w:line="580" w:lineRule="exact"/>
        <w:ind w:firstLine="640" w:firstLineChars="200"/>
        <w:rPr>
          <w:rFonts w:hint="eastAsia" w:ascii="黑体" w:hAnsi="黑体" w:eastAsia="黑体" w:cs="黑体"/>
          <w:bCs/>
          <w:color w:val="auto"/>
          <w:kern w:val="0"/>
          <w:sz w:val="32"/>
          <w:szCs w:val="32"/>
          <w:highlight w:val="none"/>
        </w:rPr>
      </w:pPr>
      <w:r>
        <w:rPr>
          <w:rFonts w:hint="eastAsia" w:ascii="黑体" w:hAnsi="黑体" w:eastAsia="黑体" w:cs="黑体"/>
          <w:bCs/>
          <w:color w:val="auto"/>
          <w:kern w:val="0"/>
          <w:sz w:val="32"/>
          <w:szCs w:val="32"/>
          <w:highlight w:val="none"/>
        </w:rPr>
        <w:t>四、特别说明</w:t>
      </w:r>
    </w:p>
    <w:p>
      <w:pPr>
        <w:widowControl/>
        <w:snapToGrid w:val="0"/>
        <w:spacing w:line="580" w:lineRule="exact"/>
        <w:ind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参与响应的响应人须明确：</w:t>
      </w:r>
    </w:p>
    <w:p>
      <w:pPr>
        <w:widowControl/>
        <w:snapToGrid w:val="0"/>
        <w:spacing w:line="580" w:lineRule="exact"/>
        <w:ind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1.</w:t>
      </w:r>
      <w:r>
        <w:rPr>
          <w:rFonts w:hint="eastAsia" w:ascii="仿宋_GB2312" w:hAnsi="仿宋_GB2312" w:eastAsia="仿宋_GB2312" w:cs="仿宋_GB2312"/>
          <w:color w:val="auto"/>
          <w:kern w:val="0"/>
          <w:sz w:val="32"/>
          <w:szCs w:val="32"/>
          <w:highlight w:val="none"/>
          <w:lang w:eastAsia="zh-CN"/>
        </w:rPr>
        <w:t>采购人</w:t>
      </w:r>
      <w:r>
        <w:rPr>
          <w:rFonts w:hint="eastAsia" w:ascii="仿宋_GB2312" w:hAnsi="仿宋_GB2312" w:eastAsia="仿宋_GB2312" w:cs="仿宋_GB2312"/>
          <w:color w:val="auto"/>
          <w:kern w:val="0"/>
          <w:sz w:val="32"/>
          <w:szCs w:val="32"/>
          <w:highlight w:val="none"/>
        </w:rPr>
        <w:t>评审时除考虑响应人报价之外，还要对其综合能力进行比较，同时考虑下列因素：</w:t>
      </w:r>
    </w:p>
    <w:p>
      <w:pPr>
        <w:widowControl/>
        <w:snapToGrid w:val="0"/>
        <w:spacing w:line="580" w:lineRule="exact"/>
        <w:ind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（1）响应人及拟指派服务团队的专业能力、综合实力和专业领域；</w:t>
      </w:r>
    </w:p>
    <w:p>
      <w:pPr>
        <w:widowControl/>
        <w:snapToGrid w:val="0"/>
        <w:spacing w:line="580" w:lineRule="exact"/>
        <w:ind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（2）提供的服务范围、服务方式及对本采购</w:t>
      </w:r>
      <w:r>
        <w:rPr>
          <w:rFonts w:hint="eastAsia" w:ascii="仿宋_GB2312" w:hAnsi="仿宋_GB2312" w:eastAsia="仿宋_GB2312" w:cs="仿宋_GB2312"/>
          <w:color w:val="auto"/>
          <w:kern w:val="0"/>
          <w:sz w:val="32"/>
          <w:szCs w:val="32"/>
          <w:highlight w:val="none"/>
          <w:lang w:eastAsia="zh-CN"/>
        </w:rPr>
        <w:t>文件</w:t>
      </w:r>
      <w:r>
        <w:rPr>
          <w:rFonts w:hint="eastAsia" w:ascii="仿宋_GB2312" w:hAnsi="仿宋_GB2312" w:eastAsia="仿宋_GB2312" w:cs="仿宋_GB2312"/>
          <w:color w:val="auto"/>
          <w:kern w:val="0"/>
          <w:sz w:val="32"/>
          <w:szCs w:val="32"/>
          <w:highlight w:val="none"/>
        </w:rPr>
        <w:t>所列服务要求的承诺；</w:t>
      </w:r>
    </w:p>
    <w:p>
      <w:pPr>
        <w:widowControl/>
        <w:snapToGrid w:val="0"/>
        <w:spacing w:line="580" w:lineRule="exact"/>
        <w:ind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（3）响应人提供的其他服务及优惠条件；</w:t>
      </w:r>
    </w:p>
    <w:p>
      <w:pPr>
        <w:widowControl/>
        <w:snapToGrid w:val="0"/>
        <w:spacing w:line="580" w:lineRule="exact"/>
        <w:ind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（4）响应人拟指派服务团队在风险内控合规体系整合的大风控体系构建咨询服务方面有实战经验的，优先考虑。</w:t>
      </w:r>
    </w:p>
    <w:p>
      <w:pPr>
        <w:widowControl/>
        <w:snapToGrid w:val="0"/>
        <w:spacing w:line="580" w:lineRule="exact"/>
        <w:ind w:firstLine="643" w:firstLineChars="200"/>
        <w:rPr>
          <w:rFonts w:hint="eastAsia" w:ascii="仿宋_GB2312" w:hAnsi="仿宋_GB2312" w:eastAsia="仿宋_GB2312" w:cs="仿宋_GB2312"/>
          <w:b/>
          <w:color w:val="auto"/>
          <w:kern w:val="0"/>
          <w:sz w:val="32"/>
          <w:szCs w:val="32"/>
          <w:highlight w:val="none"/>
        </w:rPr>
      </w:pPr>
      <w:r>
        <w:rPr>
          <w:rFonts w:hint="eastAsia" w:ascii="仿宋_GB2312" w:hAnsi="仿宋_GB2312" w:eastAsia="仿宋_GB2312" w:cs="仿宋_GB2312"/>
          <w:b/>
          <w:color w:val="auto"/>
          <w:kern w:val="0"/>
          <w:sz w:val="32"/>
          <w:szCs w:val="32"/>
          <w:highlight w:val="none"/>
        </w:rPr>
        <w:t>2.响应人应本着长期合作、专业服务的精神，以优惠的价格参与响应，但亦应严格保证业务质量，一旦发现候选人及指派服务团队的情况</w:t>
      </w:r>
      <w:r>
        <w:rPr>
          <w:rFonts w:hint="eastAsia" w:ascii="仿宋_GB2312" w:hAnsi="仿宋_GB2312" w:eastAsia="仿宋_GB2312" w:cs="仿宋_GB2312"/>
          <w:b/>
          <w:color w:val="auto"/>
          <w:kern w:val="0"/>
          <w:sz w:val="32"/>
          <w:szCs w:val="32"/>
          <w:highlight w:val="none"/>
          <w:lang w:eastAsia="zh-CN"/>
        </w:rPr>
        <w:t>及</w:t>
      </w:r>
      <w:r>
        <w:rPr>
          <w:rFonts w:hint="eastAsia" w:ascii="仿宋_GB2312" w:hAnsi="仿宋_GB2312" w:eastAsia="仿宋_GB2312" w:cs="仿宋_GB2312"/>
          <w:b/>
          <w:color w:val="auto"/>
          <w:kern w:val="0"/>
          <w:sz w:val="32"/>
          <w:szCs w:val="32"/>
          <w:highlight w:val="none"/>
        </w:rPr>
        <w:t>专业水平与响应文件所述不符，或候选人及指派咨询顾问的实际从业能力无法达到广州市自来水工程有限公司的要求，或因候选人及指派咨询顾问的过错给广州市自来水工程有限公司带来损失的，或不能按本采购文件的要求提供服务的，广州市自来水工程有限公司保留随时解聘并要求赔偿的权利，且广州市自来水工程有限公司将不承担任何费用并有权追回已支付的所有费用。</w:t>
      </w:r>
    </w:p>
    <w:p>
      <w:pPr>
        <w:widowControl/>
        <w:snapToGrid w:val="0"/>
        <w:spacing w:line="580" w:lineRule="exact"/>
        <w:ind w:firstLine="640" w:firstLineChars="200"/>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3.响应人不符合资格要求或未按采购</w:t>
      </w:r>
      <w:r>
        <w:rPr>
          <w:rFonts w:hint="eastAsia" w:ascii="仿宋_GB2312" w:hAnsi="仿宋_GB2312" w:eastAsia="仿宋_GB2312" w:cs="仿宋_GB2312"/>
          <w:color w:val="auto"/>
          <w:kern w:val="0"/>
          <w:sz w:val="32"/>
          <w:szCs w:val="32"/>
          <w:highlight w:val="none"/>
          <w:lang w:eastAsia="zh-CN"/>
        </w:rPr>
        <w:t>文件</w:t>
      </w:r>
      <w:r>
        <w:rPr>
          <w:rFonts w:hint="eastAsia" w:ascii="仿宋_GB2312" w:hAnsi="仿宋_GB2312" w:eastAsia="仿宋_GB2312" w:cs="仿宋_GB2312"/>
          <w:color w:val="auto"/>
          <w:kern w:val="0"/>
          <w:sz w:val="32"/>
          <w:szCs w:val="32"/>
          <w:highlight w:val="none"/>
        </w:rPr>
        <w:t>规定递交的响应文件无效。无论入选与否，各响应人提交的资料恕不退回，由广州市自来水工程有限公司存档作为以后合作参考。</w:t>
      </w:r>
    </w:p>
    <w:p>
      <w:pPr>
        <w:widowControl/>
        <w:snapToGrid w:val="0"/>
        <w:spacing w:line="580" w:lineRule="exact"/>
        <w:ind w:firstLine="803" w:firstLineChars="250"/>
        <w:jc w:val="left"/>
        <w:rPr>
          <w:rFonts w:hint="eastAsia" w:ascii="仿宋_GB2312" w:hAnsi="仿宋_GB2312" w:eastAsia="仿宋_GB2312" w:cs="仿宋_GB2312"/>
          <w:b/>
          <w:color w:val="auto"/>
          <w:kern w:val="0"/>
          <w:sz w:val="32"/>
          <w:szCs w:val="32"/>
          <w:highlight w:val="none"/>
        </w:rPr>
      </w:pPr>
    </w:p>
    <w:p>
      <w:pPr>
        <w:pStyle w:val="2"/>
        <w:rPr>
          <w:rFonts w:hint="eastAsia"/>
          <w:color w:val="auto"/>
          <w:highlight w:val="none"/>
        </w:rPr>
      </w:pPr>
    </w:p>
    <w:p>
      <w:pPr>
        <w:widowControl/>
        <w:snapToGrid w:val="0"/>
        <w:spacing w:line="580" w:lineRule="exact"/>
        <w:ind w:firstLine="640" w:firstLineChars="200"/>
        <w:jc w:val="left"/>
        <w:rPr>
          <w:rFonts w:hint="eastAsia" w:ascii="黑体" w:hAnsi="黑体" w:eastAsia="黑体" w:cs="黑体"/>
          <w:bCs/>
          <w:color w:val="auto"/>
          <w:kern w:val="0"/>
          <w:sz w:val="32"/>
          <w:szCs w:val="32"/>
          <w:highlight w:val="none"/>
        </w:rPr>
      </w:pPr>
    </w:p>
    <w:p>
      <w:pPr>
        <w:widowControl/>
        <w:snapToGrid w:val="0"/>
        <w:spacing w:line="580" w:lineRule="exact"/>
        <w:ind w:firstLine="640" w:firstLineChars="200"/>
        <w:jc w:val="left"/>
        <w:rPr>
          <w:rFonts w:hint="eastAsia" w:ascii="黑体" w:hAnsi="黑体" w:eastAsia="黑体" w:cs="黑体"/>
          <w:bCs/>
          <w:color w:val="auto"/>
          <w:kern w:val="0"/>
          <w:sz w:val="32"/>
          <w:szCs w:val="32"/>
          <w:highlight w:val="none"/>
        </w:rPr>
      </w:pPr>
    </w:p>
    <w:p>
      <w:pPr>
        <w:widowControl/>
        <w:snapToGrid w:val="0"/>
        <w:spacing w:line="580" w:lineRule="exact"/>
        <w:ind w:firstLine="640" w:firstLineChars="200"/>
        <w:jc w:val="left"/>
        <w:rPr>
          <w:rFonts w:hint="eastAsia" w:ascii="黑体" w:hAnsi="黑体" w:eastAsia="黑体" w:cs="黑体"/>
          <w:bCs/>
          <w:color w:val="auto"/>
          <w:kern w:val="0"/>
          <w:sz w:val="32"/>
          <w:szCs w:val="32"/>
          <w:highlight w:val="none"/>
        </w:rPr>
      </w:pPr>
    </w:p>
    <w:p>
      <w:pPr>
        <w:widowControl/>
        <w:snapToGrid w:val="0"/>
        <w:spacing w:line="580" w:lineRule="exact"/>
        <w:ind w:firstLine="640" w:firstLineChars="200"/>
        <w:jc w:val="left"/>
        <w:rPr>
          <w:rFonts w:hint="eastAsia" w:ascii="黑体" w:hAnsi="黑体" w:eastAsia="黑体" w:cs="黑体"/>
          <w:bCs/>
          <w:color w:val="auto"/>
          <w:kern w:val="0"/>
          <w:sz w:val="32"/>
          <w:szCs w:val="32"/>
          <w:highlight w:val="none"/>
        </w:rPr>
      </w:pPr>
    </w:p>
    <w:p>
      <w:pPr>
        <w:widowControl/>
        <w:snapToGrid w:val="0"/>
        <w:spacing w:line="580" w:lineRule="exact"/>
        <w:ind w:firstLine="640" w:firstLineChars="200"/>
        <w:jc w:val="left"/>
        <w:rPr>
          <w:rFonts w:hint="eastAsia" w:ascii="黑体" w:hAnsi="黑体" w:eastAsia="黑体" w:cs="黑体"/>
          <w:bCs/>
          <w:color w:val="auto"/>
          <w:kern w:val="0"/>
          <w:sz w:val="32"/>
          <w:szCs w:val="32"/>
          <w:highlight w:val="none"/>
        </w:rPr>
      </w:pPr>
    </w:p>
    <w:p>
      <w:pPr>
        <w:widowControl/>
        <w:snapToGrid w:val="0"/>
        <w:spacing w:line="580" w:lineRule="exact"/>
        <w:ind w:firstLine="640" w:firstLineChars="200"/>
        <w:jc w:val="left"/>
        <w:rPr>
          <w:rFonts w:hint="eastAsia" w:ascii="黑体" w:hAnsi="黑体" w:eastAsia="黑体" w:cs="黑体"/>
          <w:bCs/>
          <w:color w:val="auto"/>
          <w:kern w:val="0"/>
          <w:sz w:val="32"/>
          <w:szCs w:val="32"/>
          <w:highlight w:val="none"/>
        </w:rPr>
      </w:pPr>
    </w:p>
    <w:p>
      <w:pPr>
        <w:widowControl/>
        <w:snapToGrid w:val="0"/>
        <w:spacing w:line="580" w:lineRule="exact"/>
        <w:ind w:firstLine="640" w:firstLineChars="200"/>
        <w:jc w:val="left"/>
        <w:rPr>
          <w:rFonts w:hint="eastAsia" w:ascii="黑体" w:hAnsi="黑体" w:eastAsia="黑体" w:cs="黑体"/>
          <w:bCs/>
          <w:color w:val="auto"/>
          <w:kern w:val="0"/>
          <w:sz w:val="32"/>
          <w:szCs w:val="32"/>
          <w:highlight w:val="none"/>
        </w:rPr>
      </w:pPr>
    </w:p>
    <w:p>
      <w:pPr>
        <w:widowControl/>
        <w:snapToGrid w:val="0"/>
        <w:spacing w:line="580" w:lineRule="exact"/>
        <w:ind w:firstLine="640" w:firstLineChars="200"/>
        <w:jc w:val="left"/>
        <w:rPr>
          <w:rFonts w:hint="eastAsia" w:ascii="黑体" w:hAnsi="黑体" w:eastAsia="黑体" w:cs="黑体"/>
          <w:bCs/>
          <w:color w:val="auto"/>
          <w:kern w:val="0"/>
          <w:sz w:val="32"/>
          <w:szCs w:val="32"/>
          <w:highlight w:val="none"/>
        </w:rPr>
      </w:pPr>
    </w:p>
    <w:p>
      <w:pPr>
        <w:pStyle w:val="2"/>
        <w:rPr>
          <w:rFonts w:hint="eastAsia" w:ascii="黑体" w:hAnsi="黑体" w:eastAsia="黑体" w:cs="黑体"/>
          <w:bCs/>
          <w:color w:val="auto"/>
          <w:kern w:val="0"/>
          <w:sz w:val="32"/>
          <w:szCs w:val="32"/>
          <w:highlight w:val="none"/>
        </w:rPr>
      </w:pPr>
    </w:p>
    <w:p>
      <w:pPr>
        <w:pStyle w:val="2"/>
        <w:rPr>
          <w:rFonts w:hint="eastAsia" w:ascii="黑体" w:hAnsi="黑体" w:eastAsia="黑体" w:cs="黑体"/>
          <w:bCs/>
          <w:color w:val="auto"/>
          <w:kern w:val="0"/>
          <w:sz w:val="32"/>
          <w:szCs w:val="32"/>
          <w:highlight w:val="none"/>
        </w:rPr>
      </w:pPr>
    </w:p>
    <w:p>
      <w:pPr>
        <w:pStyle w:val="2"/>
        <w:rPr>
          <w:rFonts w:hint="eastAsia" w:ascii="黑体" w:hAnsi="黑体" w:eastAsia="黑体" w:cs="黑体"/>
          <w:bCs/>
          <w:color w:val="auto"/>
          <w:kern w:val="0"/>
          <w:sz w:val="32"/>
          <w:szCs w:val="32"/>
          <w:highlight w:val="none"/>
        </w:rPr>
      </w:pPr>
    </w:p>
    <w:p>
      <w:pPr>
        <w:widowControl/>
        <w:snapToGrid w:val="0"/>
        <w:spacing w:line="580" w:lineRule="exact"/>
        <w:ind w:firstLine="640" w:firstLineChars="200"/>
        <w:jc w:val="left"/>
        <w:rPr>
          <w:rFonts w:hint="eastAsia" w:ascii="黑体" w:hAnsi="黑体" w:eastAsia="黑体" w:cs="黑体"/>
          <w:bCs/>
          <w:color w:val="auto"/>
          <w:kern w:val="0"/>
          <w:sz w:val="32"/>
          <w:szCs w:val="32"/>
          <w:highlight w:val="none"/>
        </w:rPr>
      </w:pPr>
    </w:p>
    <w:p>
      <w:pPr>
        <w:widowControl/>
        <w:snapToGrid w:val="0"/>
        <w:spacing w:line="580" w:lineRule="exact"/>
        <w:ind w:firstLine="640" w:firstLineChars="200"/>
        <w:jc w:val="left"/>
        <w:rPr>
          <w:rFonts w:hint="eastAsia" w:ascii="黑体" w:hAnsi="黑体" w:eastAsia="黑体" w:cs="黑体"/>
          <w:bCs/>
          <w:color w:val="auto"/>
          <w:kern w:val="0"/>
          <w:sz w:val="32"/>
          <w:szCs w:val="32"/>
          <w:highlight w:val="none"/>
        </w:rPr>
      </w:pPr>
    </w:p>
    <w:p>
      <w:pPr>
        <w:widowControl/>
        <w:snapToGrid w:val="0"/>
        <w:spacing w:line="580" w:lineRule="exact"/>
        <w:ind w:firstLine="640" w:firstLineChars="200"/>
        <w:jc w:val="left"/>
        <w:rPr>
          <w:rFonts w:hint="eastAsia" w:ascii="黑体" w:hAnsi="黑体" w:eastAsia="黑体" w:cs="黑体"/>
          <w:bCs/>
          <w:color w:val="auto"/>
          <w:kern w:val="0"/>
          <w:sz w:val="32"/>
          <w:szCs w:val="32"/>
          <w:highlight w:val="none"/>
        </w:rPr>
      </w:pPr>
    </w:p>
    <w:p>
      <w:pPr>
        <w:pStyle w:val="2"/>
        <w:rPr>
          <w:rFonts w:hint="eastAsia" w:ascii="黑体" w:hAnsi="黑体" w:eastAsia="黑体" w:cs="黑体"/>
          <w:bCs/>
          <w:color w:val="auto"/>
          <w:kern w:val="0"/>
          <w:sz w:val="32"/>
          <w:szCs w:val="32"/>
          <w:highlight w:val="none"/>
        </w:rPr>
      </w:pPr>
    </w:p>
    <w:p>
      <w:pPr>
        <w:pStyle w:val="2"/>
        <w:rPr>
          <w:rFonts w:hint="eastAsia" w:ascii="黑体" w:hAnsi="黑体" w:eastAsia="黑体" w:cs="黑体"/>
          <w:bCs/>
          <w:color w:val="auto"/>
          <w:kern w:val="0"/>
          <w:sz w:val="32"/>
          <w:szCs w:val="32"/>
          <w:highlight w:val="none"/>
        </w:rPr>
      </w:pPr>
    </w:p>
    <w:p>
      <w:pPr>
        <w:pStyle w:val="2"/>
        <w:rPr>
          <w:rFonts w:hint="eastAsia" w:ascii="黑体" w:hAnsi="黑体" w:eastAsia="黑体" w:cs="黑体"/>
          <w:bCs/>
          <w:color w:val="auto"/>
          <w:kern w:val="0"/>
          <w:sz w:val="32"/>
          <w:szCs w:val="32"/>
          <w:highlight w:val="none"/>
        </w:rPr>
      </w:pPr>
    </w:p>
    <w:p>
      <w:pPr>
        <w:widowControl/>
        <w:snapToGrid w:val="0"/>
        <w:spacing w:line="580" w:lineRule="exact"/>
        <w:ind w:firstLine="640" w:firstLineChars="200"/>
        <w:jc w:val="left"/>
        <w:rPr>
          <w:rFonts w:hint="eastAsia" w:ascii="黑体" w:hAnsi="黑体" w:eastAsia="黑体" w:cs="黑体"/>
          <w:bCs/>
          <w:color w:val="auto"/>
          <w:kern w:val="0"/>
          <w:sz w:val="32"/>
          <w:szCs w:val="32"/>
          <w:highlight w:val="none"/>
        </w:rPr>
      </w:pPr>
    </w:p>
    <w:p>
      <w:pPr>
        <w:pStyle w:val="2"/>
        <w:rPr>
          <w:rFonts w:hint="eastAsia"/>
          <w:color w:val="auto"/>
          <w:highlight w:val="none"/>
        </w:rPr>
      </w:pPr>
    </w:p>
    <w:p>
      <w:pPr>
        <w:widowControl/>
        <w:snapToGrid w:val="0"/>
        <w:spacing w:line="620" w:lineRule="exact"/>
        <w:rPr>
          <w:rFonts w:hint="eastAsia" w:ascii="仿宋_GB2312" w:hAnsi="仿宋_GB2312" w:eastAsia="仿宋_GB2312" w:cs="仿宋_GB2312"/>
          <w:b/>
          <w:color w:val="auto"/>
          <w:kern w:val="0"/>
          <w:sz w:val="32"/>
          <w:szCs w:val="32"/>
          <w:highlight w:val="none"/>
        </w:rPr>
      </w:pPr>
      <w:r>
        <w:rPr>
          <w:rFonts w:hint="eastAsia" w:ascii="黑体" w:hAnsi="黑体" w:eastAsia="黑体" w:cs="黑体"/>
          <w:bCs/>
          <w:color w:val="auto"/>
          <w:kern w:val="0"/>
          <w:sz w:val="32"/>
          <w:szCs w:val="32"/>
          <w:highlight w:val="none"/>
        </w:rPr>
        <w:t>附件1</w:t>
      </w:r>
    </w:p>
    <w:p>
      <w:pPr>
        <w:pStyle w:val="4"/>
        <w:snapToGrid w:val="0"/>
        <w:spacing w:line="620" w:lineRule="exact"/>
        <w:ind w:firstLine="440"/>
        <w:rPr>
          <w:rFonts w:hint="eastAsia" w:ascii="方正小标宋简体" w:hAnsi="方正小标宋简体" w:eastAsia="方正小标宋简体" w:cs="方正小标宋简体"/>
          <w:bCs/>
          <w:color w:val="auto"/>
          <w:sz w:val="44"/>
          <w:szCs w:val="44"/>
          <w:highlight w:val="none"/>
        </w:rPr>
      </w:pPr>
      <w:bookmarkStart w:id="18" w:name="_Toc70512138"/>
      <w:r>
        <w:rPr>
          <w:rFonts w:hint="eastAsia" w:ascii="方正小标宋简体" w:hAnsi="方正小标宋简体" w:eastAsia="方正小标宋简体" w:cs="方正小标宋简体"/>
          <w:bCs/>
          <w:color w:val="auto"/>
          <w:kern w:val="0"/>
          <w:sz w:val="44"/>
          <w:szCs w:val="44"/>
          <w:highlight w:val="none"/>
        </w:rPr>
        <w:t>响应文件（参考格式）</w:t>
      </w:r>
      <w:bookmarkEnd w:id="18"/>
    </w:p>
    <w:p>
      <w:pPr>
        <w:pStyle w:val="13"/>
        <w:snapToGrid w:val="0"/>
        <w:spacing w:line="620" w:lineRule="exact"/>
        <w:ind w:firstLine="300"/>
        <w:rPr>
          <w:rFonts w:hint="eastAsia" w:ascii="仿宋_GB2312" w:hAnsi="仿宋_GB2312" w:eastAsia="仿宋_GB2312" w:cs="仿宋_GB2312"/>
          <w:color w:val="auto"/>
          <w:kern w:val="0"/>
          <w:sz w:val="32"/>
          <w:szCs w:val="32"/>
          <w:highlight w:val="none"/>
        </w:rPr>
      </w:pPr>
    </w:p>
    <w:p>
      <w:pPr>
        <w:widowControl/>
        <w:snapToGrid w:val="0"/>
        <w:spacing w:line="620" w:lineRule="exact"/>
        <w:rPr>
          <w:rFonts w:hint="eastAsia" w:ascii="仿宋_GB2312" w:hAnsi="仿宋_GB2312" w:eastAsia="仿宋_GB2312" w:cs="仿宋_GB2312"/>
          <w:bCs/>
          <w:color w:val="auto"/>
          <w:kern w:val="0"/>
          <w:sz w:val="32"/>
          <w:szCs w:val="32"/>
          <w:highlight w:val="none"/>
        </w:rPr>
      </w:pPr>
      <w:r>
        <w:rPr>
          <w:rFonts w:hint="eastAsia" w:ascii="仿宋_GB2312" w:hAnsi="仿宋_GB2312" w:eastAsia="仿宋_GB2312" w:cs="仿宋_GB2312"/>
          <w:bCs/>
          <w:color w:val="auto"/>
          <w:kern w:val="0"/>
          <w:sz w:val="32"/>
          <w:szCs w:val="32"/>
          <w:highlight w:val="none"/>
        </w:rPr>
        <w:t>广州市自来水工程有限公司：</w:t>
      </w:r>
    </w:p>
    <w:p>
      <w:pPr>
        <w:widowControl/>
        <w:snapToGrid w:val="0"/>
        <w:spacing w:line="620" w:lineRule="exact"/>
        <w:ind w:firstLine="636" w:firstLineChars="199"/>
        <w:jc w:val="left"/>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根据广州市自来水工程有限公司合规管理体系建设及风险、内控、合规三体系整合建设咨询服务项目采购文件要求，</w:t>
      </w:r>
      <w:r>
        <w:rPr>
          <w:rFonts w:hint="eastAsia" w:ascii="仿宋_GB2312" w:hAnsi="仿宋_GB2312" w:eastAsia="仿宋_GB2312" w:cs="仿宋_GB2312"/>
          <w:color w:val="auto"/>
          <w:kern w:val="0"/>
          <w:sz w:val="32"/>
          <w:szCs w:val="32"/>
          <w:highlight w:val="none"/>
          <w:u w:val="single"/>
        </w:rPr>
        <w:t xml:space="preserve">                                                (全名及职衔) </w:t>
      </w:r>
      <w:r>
        <w:rPr>
          <w:rFonts w:hint="eastAsia" w:ascii="仿宋_GB2312" w:hAnsi="仿宋_GB2312" w:eastAsia="仿宋_GB2312" w:cs="仿宋_GB2312"/>
          <w:color w:val="auto"/>
          <w:kern w:val="0"/>
          <w:sz w:val="32"/>
          <w:szCs w:val="32"/>
          <w:highlight w:val="none"/>
        </w:rPr>
        <w:t>团队经正式授权并以</w:t>
      </w:r>
      <w:r>
        <w:rPr>
          <w:rFonts w:hint="eastAsia" w:ascii="仿宋_GB2312" w:hAnsi="仿宋_GB2312" w:eastAsia="仿宋_GB2312" w:cs="仿宋_GB2312"/>
          <w:color w:val="auto"/>
          <w:kern w:val="0"/>
          <w:sz w:val="32"/>
          <w:szCs w:val="32"/>
          <w:highlight w:val="none"/>
          <w:u w:val="single"/>
        </w:rPr>
        <w:t xml:space="preserve">            </w:t>
      </w:r>
      <w:r>
        <w:rPr>
          <w:rFonts w:hint="eastAsia" w:ascii="仿宋_GB2312" w:hAnsi="仿宋_GB2312" w:eastAsia="仿宋_GB2312" w:cs="仿宋_GB2312"/>
          <w:color w:val="auto"/>
          <w:kern w:val="0"/>
          <w:sz w:val="32"/>
          <w:szCs w:val="32"/>
          <w:highlight w:val="none"/>
        </w:rPr>
        <w:t>(响应人名称)的名义参与响应。提交响应文件正本一份，副本一份。响应文件包括：</w:t>
      </w:r>
    </w:p>
    <w:p>
      <w:pPr>
        <w:widowControl/>
        <w:snapToGrid w:val="0"/>
        <w:spacing w:line="620" w:lineRule="exact"/>
        <w:ind w:firstLine="640" w:firstLineChars="200"/>
        <w:jc w:val="left"/>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1.响应文件；</w:t>
      </w:r>
    </w:p>
    <w:p>
      <w:pPr>
        <w:widowControl/>
        <w:snapToGrid w:val="0"/>
        <w:spacing w:line="620" w:lineRule="exact"/>
        <w:ind w:firstLine="640" w:firstLineChars="200"/>
        <w:jc w:val="left"/>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2.报价函；</w:t>
      </w:r>
    </w:p>
    <w:p>
      <w:pPr>
        <w:widowControl/>
        <w:snapToGrid w:val="0"/>
        <w:spacing w:line="620" w:lineRule="exact"/>
        <w:ind w:firstLine="640" w:firstLineChars="200"/>
        <w:jc w:val="left"/>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3.服务方案；</w:t>
      </w:r>
    </w:p>
    <w:p>
      <w:pPr>
        <w:widowControl/>
        <w:snapToGrid w:val="0"/>
        <w:spacing w:line="620" w:lineRule="exact"/>
        <w:ind w:firstLine="640" w:firstLineChars="200"/>
        <w:jc w:val="left"/>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4.承诺函；</w:t>
      </w:r>
    </w:p>
    <w:p>
      <w:pPr>
        <w:widowControl/>
        <w:snapToGrid w:val="0"/>
        <w:spacing w:line="620" w:lineRule="exact"/>
        <w:ind w:firstLine="640" w:firstLineChars="200"/>
        <w:jc w:val="left"/>
        <w:rPr>
          <w:rFonts w:hint="default" w:ascii="仿宋_GB2312" w:hAnsi="仿宋_GB2312" w:eastAsia="仿宋_GB2312" w:cs="仿宋_GB2312"/>
          <w:color w:val="auto"/>
          <w:kern w:val="0"/>
          <w:sz w:val="32"/>
          <w:szCs w:val="32"/>
          <w:highlight w:val="none"/>
          <w:lang w:val="en-US" w:eastAsia="zh-CN"/>
        </w:rPr>
      </w:pPr>
      <w:r>
        <w:rPr>
          <w:rFonts w:hint="eastAsia" w:ascii="仿宋_GB2312" w:hAnsi="仿宋_GB2312" w:eastAsia="仿宋_GB2312" w:cs="仿宋_GB2312"/>
          <w:color w:val="auto"/>
          <w:kern w:val="0"/>
          <w:sz w:val="32"/>
          <w:szCs w:val="32"/>
          <w:highlight w:val="none"/>
          <w:lang w:val="en-US" w:eastAsia="zh-CN"/>
        </w:rPr>
        <w:t>5.</w:t>
      </w:r>
      <w:r>
        <w:rPr>
          <w:rFonts w:hint="eastAsia" w:ascii="仿宋_GB2312" w:hAnsi="仿宋_GB2312" w:eastAsia="仿宋_GB2312" w:cs="仿宋_GB2312"/>
          <w:color w:val="auto"/>
          <w:kern w:val="0"/>
          <w:sz w:val="32"/>
          <w:szCs w:val="32"/>
          <w:highlight w:val="none"/>
        </w:rPr>
        <w:t>授权委托书</w:t>
      </w:r>
    </w:p>
    <w:p>
      <w:pPr>
        <w:widowControl/>
        <w:snapToGrid w:val="0"/>
        <w:spacing w:line="620" w:lineRule="exact"/>
        <w:ind w:firstLine="640" w:firstLineChars="200"/>
        <w:jc w:val="left"/>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……（请各响应人根据采购文件及实际情况自行补充）</w:t>
      </w:r>
    </w:p>
    <w:p>
      <w:pPr>
        <w:widowControl/>
        <w:snapToGrid w:val="0"/>
        <w:spacing w:line="620" w:lineRule="exact"/>
        <w:jc w:val="left"/>
        <w:rPr>
          <w:rFonts w:hint="eastAsia" w:ascii="仿宋_GB2312" w:hAnsi="仿宋_GB2312" w:eastAsia="仿宋_GB2312" w:cs="仿宋_GB2312"/>
          <w:color w:val="auto"/>
          <w:kern w:val="0"/>
          <w:sz w:val="32"/>
          <w:szCs w:val="32"/>
          <w:highlight w:val="none"/>
        </w:rPr>
      </w:pPr>
    </w:p>
    <w:p>
      <w:pPr>
        <w:widowControl/>
        <w:snapToGrid w:val="0"/>
        <w:spacing w:line="620" w:lineRule="exact"/>
        <w:ind w:firstLine="640" w:firstLineChars="200"/>
        <w:jc w:val="left"/>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响应人及授权代表在此声明并同意：</w:t>
      </w:r>
    </w:p>
    <w:p>
      <w:pPr>
        <w:widowControl/>
        <w:snapToGrid w:val="0"/>
        <w:spacing w:line="620" w:lineRule="exact"/>
        <w:ind w:firstLine="640" w:firstLineChars="200"/>
        <w:jc w:val="left"/>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1.对我们提交的所有文件的真实性及完整性负责；</w:t>
      </w:r>
    </w:p>
    <w:p>
      <w:pPr>
        <w:widowControl/>
        <w:snapToGrid w:val="0"/>
        <w:spacing w:line="620" w:lineRule="exact"/>
        <w:ind w:firstLine="640" w:firstLineChars="200"/>
        <w:jc w:val="left"/>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 xml:space="preserve">2.我们已经详细地阅读了全部采购文件（包括附件等文件），特别是采购文件中加粗部分的内容，我们完全理解及同意，并无任何误解或疑义； </w:t>
      </w:r>
    </w:p>
    <w:p>
      <w:pPr>
        <w:widowControl/>
        <w:snapToGrid w:val="0"/>
        <w:spacing w:line="620" w:lineRule="exact"/>
        <w:ind w:firstLine="640" w:firstLineChars="200"/>
        <w:jc w:val="left"/>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3.我们理解你们并无义务必须接受最低报价的响应文件或其他任何响应文件；</w:t>
      </w:r>
    </w:p>
    <w:p>
      <w:pPr>
        <w:widowControl/>
        <w:snapToGrid w:val="0"/>
        <w:spacing w:line="620" w:lineRule="exact"/>
        <w:ind w:firstLine="640" w:firstLineChars="200"/>
        <w:jc w:val="left"/>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4.所有有关本次采购的函电请寄：</w:t>
      </w:r>
    </w:p>
    <w:p>
      <w:pPr>
        <w:widowControl/>
        <w:snapToGrid w:val="0"/>
        <w:spacing w:line="620" w:lineRule="exact"/>
        <w:ind w:firstLine="640" w:firstLineChars="200"/>
        <w:jc w:val="left"/>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 xml:space="preserve">联系地址：  </w:t>
      </w:r>
    </w:p>
    <w:p>
      <w:pPr>
        <w:widowControl/>
        <w:snapToGrid w:val="0"/>
        <w:spacing w:line="620" w:lineRule="exact"/>
        <w:ind w:firstLine="640" w:firstLineChars="200"/>
        <w:jc w:val="left"/>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 xml:space="preserve">联系人：  电话：  </w:t>
      </w:r>
    </w:p>
    <w:p>
      <w:pPr>
        <w:widowControl/>
        <w:snapToGrid w:val="0"/>
        <w:spacing w:line="620" w:lineRule="exact"/>
        <w:ind w:firstLine="640" w:firstLineChars="200"/>
        <w:jc w:val="left"/>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电子邮箱：</w:t>
      </w:r>
    </w:p>
    <w:p>
      <w:pPr>
        <w:widowControl/>
        <w:snapToGrid w:val="0"/>
        <w:spacing w:line="620" w:lineRule="exact"/>
        <w:ind w:firstLine="640" w:firstLineChars="200"/>
        <w:jc w:val="left"/>
        <w:rPr>
          <w:rFonts w:hint="eastAsia" w:ascii="仿宋_GB2312" w:hAnsi="仿宋_GB2312" w:eastAsia="仿宋_GB2312" w:cs="仿宋_GB2312"/>
          <w:color w:val="auto"/>
          <w:kern w:val="0"/>
          <w:sz w:val="32"/>
          <w:szCs w:val="32"/>
          <w:highlight w:val="none"/>
        </w:rPr>
      </w:pPr>
    </w:p>
    <w:p>
      <w:pPr>
        <w:widowControl/>
        <w:snapToGrid w:val="0"/>
        <w:spacing w:line="620" w:lineRule="exact"/>
        <w:ind w:firstLine="4838" w:firstLineChars="1512"/>
        <w:jc w:val="left"/>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 xml:space="preserve">响应人（公章）：  </w:t>
      </w:r>
    </w:p>
    <w:p>
      <w:pPr>
        <w:widowControl/>
        <w:snapToGrid w:val="0"/>
        <w:spacing w:line="620" w:lineRule="exact"/>
        <w:ind w:firstLine="4838" w:firstLineChars="1512"/>
        <w:jc w:val="left"/>
        <w:rPr>
          <w:rFonts w:hint="eastAsia" w:ascii="仿宋_GB2312" w:hAnsi="仿宋_GB2312" w:eastAsia="仿宋_GB2312" w:cs="仿宋_GB2312"/>
          <w:color w:val="auto"/>
          <w:kern w:val="0"/>
          <w:sz w:val="32"/>
          <w:szCs w:val="32"/>
          <w:highlight w:val="none"/>
        </w:rPr>
      </w:pPr>
    </w:p>
    <w:p>
      <w:pPr>
        <w:widowControl/>
        <w:snapToGrid w:val="0"/>
        <w:spacing w:line="620" w:lineRule="exact"/>
        <w:ind w:firstLine="4838" w:firstLineChars="1512"/>
        <w:jc w:val="left"/>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授权代表(签名)：</w:t>
      </w:r>
    </w:p>
    <w:p>
      <w:pPr>
        <w:widowControl/>
        <w:snapToGrid w:val="0"/>
        <w:spacing w:line="620" w:lineRule="exact"/>
        <w:ind w:firstLine="4838" w:firstLineChars="1512"/>
        <w:jc w:val="left"/>
        <w:rPr>
          <w:rFonts w:hint="eastAsia" w:ascii="仿宋_GB2312" w:hAnsi="仿宋_GB2312" w:eastAsia="仿宋_GB2312" w:cs="仿宋_GB2312"/>
          <w:color w:val="auto"/>
          <w:kern w:val="0"/>
          <w:sz w:val="32"/>
          <w:szCs w:val="32"/>
          <w:highlight w:val="none"/>
        </w:rPr>
      </w:pPr>
    </w:p>
    <w:p>
      <w:pPr>
        <w:widowControl/>
        <w:snapToGrid w:val="0"/>
        <w:spacing w:line="620" w:lineRule="exact"/>
        <w:ind w:firstLine="4838" w:firstLineChars="1512"/>
        <w:jc w:val="left"/>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2021年   月   日</w:t>
      </w:r>
    </w:p>
    <w:p>
      <w:pPr>
        <w:snapToGrid w:val="0"/>
        <w:spacing w:line="620" w:lineRule="exact"/>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color w:val="auto"/>
          <w:kern w:val="0"/>
          <w:sz w:val="32"/>
          <w:szCs w:val="32"/>
          <w:highlight w:val="none"/>
        </w:rPr>
        <w:br w:type="page"/>
      </w:r>
      <w:r>
        <w:rPr>
          <w:rFonts w:hint="eastAsia" w:ascii="黑体" w:hAnsi="黑体" w:eastAsia="黑体" w:cs="黑体"/>
          <w:bCs/>
          <w:color w:val="auto"/>
          <w:sz w:val="32"/>
          <w:szCs w:val="32"/>
          <w:highlight w:val="none"/>
        </w:rPr>
        <w:t>附件2</w:t>
      </w:r>
    </w:p>
    <w:p>
      <w:pPr>
        <w:pStyle w:val="5"/>
        <w:snapToGrid w:val="0"/>
        <w:spacing w:before="0" w:after="0" w:line="580" w:lineRule="exact"/>
        <w:jc w:val="center"/>
        <w:rPr>
          <w:rFonts w:hint="eastAsia" w:ascii="方正小标宋简体" w:hAnsi="方正小标宋简体" w:eastAsia="方正小标宋简体" w:cs="方正小标宋简体"/>
          <w:b w:val="0"/>
          <w:bCs w:val="0"/>
          <w:color w:val="auto"/>
          <w:sz w:val="44"/>
          <w:szCs w:val="44"/>
          <w:highlight w:val="none"/>
        </w:rPr>
      </w:pPr>
      <w:bookmarkStart w:id="19" w:name="_Toc70512139"/>
      <w:r>
        <w:rPr>
          <w:rFonts w:hint="eastAsia" w:ascii="方正小标宋简体" w:hAnsi="方正小标宋简体" w:eastAsia="方正小标宋简体" w:cs="方正小标宋简体"/>
          <w:b w:val="0"/>
          <w:bCs w:val="0"/>
          <w:color w:val="auto"/>
          <w:sz w:val="44"/>
          <w:szCs w:val="44"/>
          <w:highlight w:val="none"/>
        </w:rPr>
        <w:t>报 价 函</w:t>
      </w:r>
      <w:bookmarkEnd w:id="19"/>
    </w:p>
    <w:p>
      <w:pPr>
        <w:widowControl/>
        <w:snapToGrid w:val="0"/>
        <w:spacing w:line="580" w:lineRule="exact"/>
        <w:jc w:val="left"/>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致广州市自来水工程有限公司：</w:t>
      </w:r>
    </w:p>
    <w:p>
      <w:pPr>
        <w:widowControl/>
        <w:snapToGrid w:val="0"/>
        <w:spacing w:line="580" w:lineRule="exact"/>
        <w:ind w:firstLine="640" w:firstLineChars="200"/>
        <w:jc w:val="left"/>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我方已收到并研究了你公司合规管理体系建设及风险、内控、合规三体系整合建设咨询服务项目的采购文件。我方已经检查和核对了这些文件，未发现他们有错误或其他缺陷。据此，我方愿意按下表报价：</w:t>
      </w:r>
    </w:p>
    <w:tbl>
      <w:tblPr>
        <w:tblStyle w:val="14"/>
        <w:tblW w:w="5045" w:type="pct"/>
        <w:tblInd w:w="-34" w:type="dxa"/>
        <w:tblLayout w:type="fixed"/>
        <w:tblCellMar>
          <w:top w:w="0" w:type="dxa"/>
          <w:left w:w="108" w:type="dxa"/>
          <w:bottom w:w="0" w:type="dxa"/>
          <w:right w:w="108" w:type="dxa"/>
        </w:tblCellMar>
      </w:tblPr>
      <w:tblGrid>
        <w:gridCol w:w="1388"/>
        <w:gridCol w:w="725"/>
        <w:gridCol w:w="4887"/>
        <w:gridCol w:w="1599"/>
      </w:tblGrid>
      <w:tr>
        <w:tblPrEx>
          <w:tblCellMar>
            <w:top w:w="0" w:type="dxa"/>
            <w:left w:w="108" w:type="dxa"/>
            <w:bottom w:w="0" w:type="dxa"/>
            <w:right w:w="108" w:type="dxa"/>
          </w:tblCellMar>
        </w:tblPrEx>
        <w:trPr>
          <w:trHeight w:val="347" w:hRule="atLeast"/>
        </w:trPr>
        <w:tc>
          <w:tcPr>
            <w:tcW w:w="1475" w:type="dxa"/>
            <w:tcBorders>
              <w:top w:val="single" w:color="auto" w:sz="4" w:space="0"/>
              <w:left w:val="single" w:color="auto" w:sz="4" w:space="0"/>
              <w:bottom w:val="single" w:color="auto" w:sz="4" w:space="0"/>
              <w:right w:val="single" w:color="auto" w:sz="4" w:space="0"/>
            </w:tcBorders>
            <w:noWrap w:val="0"/>
            <w:vAlign w:val="center"/>
          </w:tcPr>
          <w:p>
            <w:pPr>
              <w:tabs>
                <w:tab w:val="left" w:pos="0"/>
              </w:tabs>
              <w:snapToGrid w:val="0"/>
              <w:spacing w:line="500" w:lineRule="exact"/>
              <w:jc w:val="center"/>
              <w:rPr>
                <w:rFonts w:hint="eastAsia" w:ascii="黑体" w:hAnsi="黑体" w:eastAsia="黑体" w:cs="黑体"/>
                <w:bCs/>
                <w:color w:val="auto"/>
                <w:sz w:val="24"/>
                <w:highlight w:val="none"/>
              </w:rPr>
            </w:pPr>
            <w:r>
              <w:rPr>
                <w:rFonts w:hint="eastAsia" w:ascii="黑体" w:hAnsi="黑体" w:eastAsia="黑体" w:cs="黑体"/>
                <w:bCs/>
                <w:color w:val="auto"/>
                <w:sz w:val="24"/>
                <w:highlight w:val="none"/>
              </w:rPr>
              <w:t>项目</w:t>
            </w:r>
          </w:p>
        </w:tc>
        <w:tc>
          <w:tcPr>
            <w:tcW w:w="771" w:type="dxa"/>
            <w:tcBorders>
              <w:top w:val="single" w:color="auto" w:sz="4" w:space="0"/>
              <w:left w:val="nil"/>
              <w:bottom w:val="single" w:color="auto" w:sz="4" w:space="0"/>
              <w:right w:val="single" w:color="auto" w:sz="4" w:space="0"/>
            </w:tcBorders>
            <w:noWrap/>
            <w:vAlign w:val="center"/>
          </w:tcPr>
          <w:p>
            <w:pPr>
              <w:tabs>
                <w:tab w:val="left" w:pos="0"/>
              </w:tabs>
              <w:snapToGrid w:val="0"/>
              <w:spacing w:line="500" w:lineRule="exact"/>
              <w:jc w:val="center"/>
              <w:rPr>
                <w:rFonts w:hint="eastAsia" w:ascii="黑体" w:hAnsi="黑体" w:eastAsia="黑体" w:cs="黑体"/>
                <w:bCs/>
                <w:color w:val="auto"/>
                <w:sz w:val="24"/>
                <w:highlight w:val="none"/>
              </w:rPr>
            </w:pPr>
            <w:r>
              <w:rPr>
                <w:rFonts w:hint="eastAsia" w:ascii="黑体" w:hAnsi="黑体" w:eastAsia="黑体" w:cs="黑体"/>
                <w:bCs/>
                <w:color w:val="auto"/>
                <w:sz w:val="24"/>
                <w:highlight w:val="none"/>
              </w:rPr>
              <w:t>单位</w:t>
            </w:r>
          </w:p>
        </w:tc>
        <w:tc>
          <w:tcPr>
            <w:tcW w:w="5194" w:type="dxa"/>
            <w:tcBorders>
              <w:top w:val="single" w:color="auto" w:sz="4" w:space="0"/>
              <w:left w:val="nil"/>
              <w:bottom w:val="single" w:color="auto" w:sz="4" w:space="0"/>
              <w:right w:val="single" w:color="auto" w:sz="4" w:space="0"/>
            </w:tcBorders>
            <w:noWrap/>
            <w:vAlign w:val="center"/>
          </w:tcPr>
          <w:p>
            <w:pPr>
              <w:tabs>
                <w:tab w:val="left" w:pos="0"/>
              </w:tabs>
              <w:snapToGrid w:val="0"/>
              <w:spacing w:line="500" w:lineRule="exact"/>
              <w:jc w:val="center"/>
              <w:rPr>
                <w:rFonts w:hint="eastAsia" w:ascii="黑体" w:hAnsi="黑体" w:eastAsia="黑体" w:cs="黑体"/>
                <w:bCs/>
                <w:color w:val="auto"/>
                <w:sz w:val="24"/>
                <w:highlight w:val="none"/>
              </w:rPr>
            </w:pPr>
            <w:r>
              <w:rPr>
                <w:rFonts w:hint="eastAsia" w:ascii="黑体" w:hAnsi="黑体" w:eastAsia="黑体" w:cs="黑体"/>
                <w:bCs/>
                <w:color w:val="auto"/>
                <w:sz w:val="24"/>
                <w:highlight w:val="none"/>
              </w:rPr>
              <w:t>报价(元)</w:t>
            </w:r>
          </w:p>
        </w:tc>
        <w:tc>
          <w:tcPr>
            <w:tcW w:w="1700" w:type="dxa"/>
            <w:tcBorders>
              <w:top w:val="single" w:color="auto" w:sz="4" w:space="0"/>
              <w:left w:val="nil"/>
              <w:bottom w:val="single" w:color="auto" w:sz="4" w:space="0"/>
              <w:right w:val="single" w:color="auto" w:sz="4" w:space="0"/>
            </w:tcBorders>
            <w:noWrap w:val="0"/>
            <w:vAlign w:val="center"/>
          </w:tcPr>
          <w:p>
            <w:pPr>
              <w:tabs>
                <w:tab w:val="left" w:pos="0"/>
              </w:tabs>
              <w:snapToGrid w:val="0"/>
              <w:spacing w:line="500" w:lineRule="exact"/>
              <w:jc w:val="center"/>
              <w:rPr>
                <w:rFonts w:hint="eastAsia" w:ascii="黑体" w:hAnsi="黑体" w:eastAsia="黑体" w:cs="黑体"/>
                <w:bCs/>
                <w:color w:val="auto"/>
                <w:sz w:val="24"/>
                <w:highlight w:val="none"/>
              </w:rPr>
            </w:pPr>
            <w:r>
              <w:rPr>
                <w:rFonts w:hint="eastAsia" w:ascii="黑体" w:hAnsi="黑体" w:eastAsia="黑体" w:cs="黑体"/>
                <w:bCs/>
                <w:color w:val="auto"/>
                <w:sz w:val="24"/>
                <w:highlight w:val="none"/>
              </w:rPr>
              <w:t>备注</w:t>
            </w:r>
          </w:p>
        </w:tc>
      </w:tr>
      <w:tr>
        <w:tblPrEx>
          <w:tblCellMar>
            <w:top w:w="0" w:type="dxa"/>
            <w:left w:w="108" w:type="dxa"/>
            <w:bottom w:w="0" w:type="dxa"/>
            <w:right w:w="108" w:type="dxa"/>
          </w:tblCellMar>
        </w:tblPrEx>
        <w:trPr>
          <w:trHeight w:val="1053" w:hRule="atLeast"/>
        </w:trPr>
        <w:tc>
          <w:tcPr>
            <w:tcW w:w="1475" w:type="dxa"/>
            <w:tcBorders>
              <w:top w:val="single" w:color="auto" w:sz="4" w:space="0"/>
              <w:left w:val="single" w:color="auto" w:sz="4" w:space="0"/>
              <w:bottom w:val="single" w:color="auto" w:sz="4" w:space="0"/>
              <w:right w:val="single" w:color="auto" w:sz="4" w:space="0"/>
            </w:tcBorders>
            <w:noWrap w:val="0"/>
            <w:vAlign w:val="center"/>
          </w:tcPr>
          <w:p>
            <w:pPr>
              <w:tabs>
                <w:tab w:val="left" w:pos="0"/>
              </w:tabs>
              <w:snapToGrid w:val="0"/>
              <w:spacing w:line="360" w:lineRule="auto"/>
              <w:jc w:val="center"/>
              <w:rPr>
                <w:rFonts w:hint="eastAsia" w:ascii="仿宋_GB2312" w:eastAsia="仿宋_GB2312"/>
                <w:b/>
                <w:color w:val="auto"/>
                <w:sz w:val="24"/>
                <w:highlight w:val="none"/>
              </w:rPr>
            </w:pPr>
            <w:r>
              <w:rPr>
                <w:rFonts w:hint="eastAsia" w:ascii="仿宋_GB2312" w:eastAsia="仿宋_GB2312"/>
                <w:color w:val="auto"/>
                <w:sz w:val="24"/>
                <w:highlight w:val="none"/>
              </w:rPr>
              <w:t>总服务费</w:t>
            </w:r>
          </w:p>
        </w:tc>
        <w:tc>
          <w:tcPr>
            <w:tcW w:w="771" w:type="dxa"/>
            <w:tcBorders>
              <w:top w:val="single" w:color="auto" w:sz="4" w:space="0"/>
              <w:left w:val="nil"/>
              <w:bottom w:val="single" w:color="auto" w:sz="4" w:space="0"/>
              <w:right w:val="single" w:color="auto" w:sz="4" w:space="0"/>
            </w:tcBorders>
            <w:noWrap/>
            <w:vAlign w:val="center"/>
          </w:tcPr>
          <w:p>
            <w:pPr>
              <w:tabs>
                <w:tab w:val="left" w:pos="0"/>
              </w:tabs>
              <w:snapToGrid w:val="0"/>
              <w:spacing w:line="360" w:lineRule="auto"/>
              <w:jc w:val="center"/>
              <w:rPr>
                <w:rFonts w:hint="eastAsia" w:ascii="仿宋_GB2312" w:eastAsia="仿宋_GB2312"/>
                <w:color w:val="auto"/>
                <w:sz w:val="24"/>
                <w:highlight w:val="none"/>
              </w:rPr>
            </w:pPr>
            <w:r>
              <w:rPr>
                <w:rFonts w:hint="eastAsia" w:ascii="仿宋_GB2312" w:eastAsia="仿宋_GB2312"/>
                <w:color w:val="auto"/>
                <w:sz w:val="24"/>
                <w:highlight w:val="none"/>
              </w:rPr>
              <w:t>项</w:t>
            </w:r>
          </w:p>
        </w:tc>
        <w:tc>
          <w:tcPr>
            <w:tcW w:w="5194" w:type="dxa"/>
            <w:tcBorders>
              <w:top w:val="single" w:color="auto" w:sz="4" w:space="0"/>
              <w:left w:val="nil"/>
              <w:bottom w:val="single" w:color="auto" w:sz="4" w:space="0"/>
              <w:right w:val="single" w:color="auto" w:sz="4" w:space="0"/>
            </w:tcBorders>
            <w:noWrap/>
            <w:vAlign w:val="center"/>
          </w:tcPr>
          <w:p>
            <w:pPr>
              <w:tabs>
                <w:tab w:val="left" w:pos="0"/>
              </w:tabs>
              <w:snapToGrid w:val="0"/>
              <w:spacing w:line="360" w:lineRule="auto"/>
              <w:rPr>
                <w:rFonts w:hint="eastAsia" w:ascii="仿宋_GB2312" w:eastAsia="仿宋_GB2312"/>
                <w:color w:val="auto"/>
                <w:sz w:val="24"/>
                <w:highlight w:val="none"/>
              </w:rPr>
            </w:pPr>
            <w:r>
              <w:rPr>
                <w:rFonts w:hint="eastAsia" w:ascii="仿宋_GB2312" w:eastAsia="仿宋_GB2312"/>
                <w:color w:val="auto"/>
                <w:sz w:val="24"/>
                <w:highlight w:val="none"/>
              </w:rPr>
              <w:t>人民币</w:t>
            </w:r>
            <w:r>
              <w:rPr>
                <w:rFonts w:hint="eastAsia" w:ascii="仿宋_GB2312" w:eastAsia="仿宋_GB2312"/>
                <w:color w:val="auto"/>
                <w:sz w:val="24"/>
                <w:highlight w:val="none"/>
                <w:u w:val="single"/>
              </w:rPr>
              <w:t xml:space="preserve">             </w:t>
            </w:r>
            <w:r>
              <w:rPr>
                <w:rFonts w:hint="eastAsia" w:ascii="仿宋_GB2312" w:eastAsia="仿宋_GB2312"/>
                <w:color w:val="auto"/>
                <w:sz w:val="24"/>
                <w:highlight w:val="none"/>
              </w:rPr>
              <w:t>万元（含税）</w:t>
            </w:r>
          </w:p>
        </w:tc>
        <w:tc>
          <w:tcPr>
            <w:tcW w:w="1700" w:type="dxa"/>
            <w:tcBorders>
              <w:top w:val="single" w:color="auto" w:sz="4" w:space="0"/>
              <w:left w:val="nil"/>
              <w:bottom w:val="single" w:color="auto" w:sz="4" w:space="0"/>
              <w:right w:val="single" w:color="auto" w:sz="4" w:space="0"/>
            </w:tcBorders>
            <w:noWrap w:val="0"/>
            <w:vAlign w:val="center"/>
          </w:tcPr>
          <w:p>
            <w:pPr>
              <w:tabs>
                <w:tab w:val="left" w:pos="0"/>
              </w:tabs>
              <w:snapToGrid w:val="0"/>
              <w:spacing w:line="360" w:lineRule="auto"/>
              <w:rPr>
                <w:rFonts w:hint="eastAsia" w:ascii="仿宋_GB2312" w:eastAsia="仿宋_GB2312"/>
                <w:color w:val="auto"/>
                <w:sz w:val="24"/>
                <w:highlight w:val="none"/>
              </w:rPr>
            </w:pPr>
          </w:p>
        </w:tc>
      </w:tr>
    </w:tbl>
    <w:p>
      <w:pPr>
        <w:widowControl/>
        <w:snapToGrid w:val="0"/>
        <w:spacing w:line="580" w:lineRule="exact"/>
        <w:ind w:firstLine="640" w:firstLineChars="200"/>
        <w:jc w:val="left"/>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我方遵循本报价函直至报价有效期满，在该日期前，本报价函对我方一直具有约束力，随时可接受成交。如果我方报价函含有不符合采购文件规定的内容，我方同意按采购文件规定予以修正。</w:t>
      </w:r>
    </w:p>
    <w:p>
      <w:pPr>
        <w:widowControl/>
        <w:snapToGrid w:val="0"/>
        <w:spacing w:line="580" w:lineRule="exact"/>
        <w:ind w:firstLine="640" w:firstLineChars="200"/>
        <w:jc w:val="left"/>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我方认同你方的评审规则，遵循评</w:t>
      </w:r>
      <w:r>
        <w:rPr>
          <w:rFonts w:hint="eastAsia" w:ascii="仿宋_GB2312" w:hAnsi="仿宋_GB2312" w:eastAsia="仿宋_GB2312" w:cs="仿宋_GB2312"/>
          <w:color w:val="auto"/>
          <w:kern w:val="0"/>
          <w:sz w:val="32"/>
          <w:szCs w:val="32"/>
          <w:highlight w:val="none"/>
          <w:lang w:eastAsia="zh-CN"/>
        </w:rPr>
        <w:t>审</w:t>
      </w:r>
      <w:r>
        <w:rPr>
          <w:rFonts w:hint="eastAsia" w:ascii="仿宋_GB2312" w:hAnsi="仿宋_GB2312" w:eastAsia="仿宋_GB2312" w:cs="仿宋_GB2312"/>
          <w:color w:val="auto"/>
          <w:kern w:val="0"/>
          <w:sz w:val="32"/>
          <w:szCs w:val="32"/>
          <w:highlight w:val="none"/>
        </w:rPr>
        <w:t>工作组的</w:t>
      </w:r>
      <w:r>
        <w:rPr>
          <w:rFonts w:hint="eastAsia" w:ascii="仿宋_GB2312" w:hAnsi="仿宋_GB2312" w:eastAsia="仿宋_GB2312" w:cs="仿宋_GB2312"/>
          <w:color w:val="auto"/>
          <w:kern w:val="0"/>
          <w:sz w:val="32"/>
          <w:szCs w:val="32"/>
          <w:highlight w:val="none"/>
          <w:lang w:eastAsia="zh-CN"/>
        </w:rPr>
        <w:t>评审</w:t>
      </w:r>
      <w:r>
        <w:rPr>
          <w:rFonts w:hint="eastAsia" w:ascii="仿宋_GB2312" w:hAnsi="仿宋_GB2312" w:eastAsia="仿宋_GB2312" w:cs="仿宋_GB2312"/>
          <w:color w:val="auto"/>
          <w:kern w:val="0"/>
          <w:sz w:val="32"/>
          <w:szCs w:val="32"/>
          <w:highlight w:val="none"/>
        </w:rPr>
        <w:t>结果，并且不会采取妨碍项目进展的行为。</w:t>
      </w:r>
    </w:p>
    <w:p>
      <w:pPr>
        <w:widowControl/>
        <w:snapToGrid w:val="0"/>
        <w:spacing w:line="580" w:lineRule="exact"/>
        <w:ind w:firstLine="640" w:firstLineChars="200"/>
        <w:jc w:val="left"/>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在合同协议书正式签署生效之前，本报价函连同你方的成交通知书将构成我们双方之间共同遵守的文件，对双方具有约束力。</w:t>
      </w:r>
    </w:p>
    <w:p>
      <w:pPr>
        <w:widowControl/>
        <w:snapToGrid w:val="0"/>
        <w:spacing w:line="580" w:lineRule="exact"/>
        <w:ind w:firstLine="640" w:firstLineChars="200"/>
        <w:jc w:val="left"/>
        <w:rPr>
          <w:rFonts w:hint="eastAsia" w:ascii="仿宋_GB2312" w:hAnsi="仿宋_GB2312" w:eastAsia="仿宋_GB2312" w:cs="仿宋_GB2312"/>
          <w:color w:val="auto"/>
          <w:kern w:val="0"/>
          <w:sz w:val="32"/>
          <w:szCs w:val="32"/>
          <w:highlight w:val="none"/>
        </w:rPr>
      </w:pPr>
    </w:p>
    <w:p>
      <w:pPr>
        <w:pStyle w:val="2"/>
        <w:rPr>
          <w:rFonts w:hint="eastAsia"/>
          <w:color w:val="auto"/>
          <w:highlight w:val="none"/>
        </w:rPr>
      </w:pPr>
    </w:p>
    <w:p>
      <w:pPr>
        <w:widowControl/>
        <w:wordWrap w:val="0"/>
        <w:snapToGrid w:val="0"/>
        <w:spacing w:line="580" w:lineRule="exact"/>
        <w:ind w:firstLine="640" w:firstLineChars="200"/>
        <w:jc w:val="right"/>
        <w:rPr>
          <w:rFonts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 xml:space="preserve">响应人（公章）：                </w:t>
      </w:r>
    </w:p>
    <w:p>
      <w:pPr>
        <w:widowControl/>
        <w:wordWrap w:val="0"/>
        <w:snapToGrid w:val="0"/>
        <w:spacing w:line="580" w:lineRule="exact"/>
        <w:ind w:firstLine="640" w:firstLineChars="200"/>
        <w:jc w:val="right"/>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 xml:space="preserve">负责人或授权代表（签字）：      </w:t>
      </w:r>
    </w:p>
    <w:p>
      <w:pPr>
        <w:widowControl/>
        <w:wordWrap w:val="0"/>
        <w:snapToGrid w:val="0"/>
        <w:spacing w:line="580" w:lineRule="exact"/>
        <w:ind w:firstLine="640" w:firstLineChars="200"/>
        <w:jc w:val="right"/>
        <w:rPr>
          <w:rFonts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 xml:space="preserve">日期：  年    月    日          </w:t>
      </w:r>
    </w:p>
    <w:p>
      <w:pPr>
        <w:widowControl/>
        <w:snapToGrid w:val="0"/>
        <w:spacing w:line="580" w:lineRule="exact"/>
        <w:ind w:firstLine="643" w:firstLineChars="200"/>
        <w:jc w:val="center"/>
        <w:rPr>
          <w:rFonts w:hint="eastAsia" w:ascii="仿宋_GB2312" w:hAnsi="仿宋_GB2312" w:eastAsia="仿宋_GB2312" w:cs="仿宋_GB2312"/>
          <w:b/>
          <w:color w:val="auto"/>
          <w:sz w:val="32"/>
          <w:szCs w:val="32"/>
          <w:highlight w:val="none"/>
        </w:rPr>
      </w:pPr>
      <w:r>
        <w:rPr>
          <w:rFonts w:hint="eastAsia" w:ascii="仿宋_GB2312" w:hAnsi="仿宋_GB2312" w:eastAsia="仿宋_GB2312" w:cs="仿宋_GB2312"/>
          <w:b/>
          <w:color w:val="auto"/>
          <w:sz w:val="32"/>
          <w:szCs w:val="32"/>
          <w:highlight w:val="none"/>
        </w:rPr>
        <w:br w:type="page"/>
      </w:r>
    </w:p>
    <w:p>
      <w:pPr>
        <w:widowControl/>
        <w:snapToGrid w:val="0"/>
        <w:spacing w:line="580" w:lineRule="exact"/>
        <w:ind w:firstLine="880" w:firstLineChars="200"/>
        <w:jc w:val="center"/>
        <w:rPr>
          <w:rFonts w:ascii="黑体" w:hAnsi="黑体" w:eastAsia="仿宋_GB2312" w:cs="黑体"/>
          <w:bCs/>
          <w:color w:val="auto"/>
          <w:kern w:val="0"/>
          <w:sz w:val="32"/>
          <w:szCs w:val="32"/>
          <w:highlight w:val="none"/>
        </w:rPr>
      </w:pPr>
      <w:r>
        <w:rPr>
          <w:rFonts w:hint="eastAsia" w:ascii="方正小标宋简体" w:hAnsi="方正小标宋简体" w:eastAsia="方正小标宋简体" w:cs="方正小标宋简体"/>
          <w:bCs/>
          <w:color w:val="auto"/>
          <w:sz w:val="44"/>
          <w:szCs w:val="44"/>
          <w:highlight w:val="none"/>
        </w:rPr>
        <w:t>第四编 评审办法</w:t>
      </w:r>
    </w:p>
    <w:p>
      <w:pPr>
        <w:widowControl/>
        <w:snapToGrid w:val="0"/>
        <w:spacing w:line="580" w:lineRule="exact"/>
        <w:ind w:firstLine="640" w:firstLineChars="200"/>
        <w:jc w:val="left"/>
        <w:rPr>
          <w:rFonts w:hint="eastAsia" w:ascii="仿宋_GB2312" w:hAnsi="仿宋_GB2312" w:eastAsia="仿宋_GB2312" w:cs="仿宋_GB2312"/>
          <w:color w:val="auto"/>
          <w:kern w:val="0"/>
          <w:sz w:val="32"/>
          <w:szCs w:val="32"/>
          <w:highlight w:val="none"/>
        </w:rPr>
      </w:pPr>
    </w:p>
    <w:p>
      <w:pPr>
        <w:widowControl/>
        <w:snapToGrid w:val="0"/>
        <w:spacing w:line="580" w:lineRule="exact"/>
        <w:ind w:firstLine="640" w:firstLineChars="200"/>
        <w:jc w:val="left"/>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color w:val="auto"/>
          <w:kern w:val="0"/>
          <w:sz w:val="32"/>
          <w:szCs w:val="32"/>
          <w:highlight w:val="none"/>
        </w:rPr>
        <w:t>本次采购采用综合评分法。广州市自来水工程有限公司根据各响应人的服务方案、服务报价、响应人综合能力、对项目的投入等方面进行综合评审，对实质上响应文件的响应人，由评审小组进行综合打分。广州市自来水工程有限公司按</w:t>
      </w:r>
      <w:r>
        <w:rPr>
          <w:rFonts w:hint="eastAsia" w:ascii="仿宋_GB2312" w:hAnsi="仿宋_GB2312" w:eastAsia="仿宋_GB2312" w:cs="仿宋_GB2312"/>
          <w:color w:val="auto"/>
          <w:kern w:val="0"/>
          <w:sz w:val="32"/>
          <w:szCs w:val="32"/>
          <w:highlight w:val="none"/>
          <w:lang w:eastAsia="zh-CN"/>
        </w:rPr>
        <w:t>本</w:t>
      </w:r>
      <w:r>
        <w:rPr>
          <w:rFonts w:hint="eastAsia" w:ascii="仿宋_GB2312" w:hAnsi="仿宋_GB2312" w:eastAsia="仿宋_GB2312" w:cs="仿宋_GB2312"/>
          <w:color w:val="auto"/>
          <w:kern w:val="0"/>
          <w:sz w:val="32"/>
          <w:szCs w:val="32"/>
          <w:highlight w:val="none"/>
        </w:rPr>
        <w:t>评审办法确定成交响应人后发出成交通知书。</w:t>
      </w:r>
    </w:p>
    <w:p>
      <w:pPr>
        <w:widowControl/>
        <w:snapToGrid w:val="0"/>
        <w:spacing w:line="580" w:lineRule="exact"/>
        <w:ind w:firstLine="643" w:firstLineChars="200"/>
        <w:jc w:val="left"/>
        <w:rPr>
          <w:rFonts w:hint="eastAsia" w:ascii="黑体" w:hAnsi="黑体" w:eastAsia="黑体" w:cs="黑体"/>
          <w:bCs/>
          <w:color w:val="auto"/>
          <w:kern w:val="0"/>
          <w:sz w:val="32"/>
          <w:szCs w:val="32"/>
          <w:highlight w:val="none"/>
        </w:rPr>
      </w:pPr>
      <w:r>
        <w:rPr>
          <w:rFonts w:hint="eastAsia" w:ascii="仿宋_GB2312" w:hAnsi="仿宋_GB2312" w:eastAsia="仿宋_GB2312" w:cs="仿宋_GB2312"/>
          <w:b/>
          <w:color w:val="auto"/>
          <w:kern w:val="0"/>
          <w:sz w:val="32"/>
          <w:szCs w:val="32"/>
          <w:highlight w:val="none"/>
        </w:rPr>
        <w:t>广州市自来水工程有限公司有权综合考虑响应人资质、履约能力、业绩、服务内容、优惠条件等各方面因素，不选聘报价最低的响应人，并无需作出任何解释。</w:t>
      </w:r>
      <w:bookmarkStart w:id="20" w:name="_Toc196907006"/>
      <w:bookmarkStart w:id="21" w:name="_Toc243448681"/>
      <w:bookmarkStart w:id="22" w:name="_Toc240688058"/>
    </w:p>
    <w:p>
      <w:pPr>
        <w:pStyle w:val="13"/>
        <w:snapToGrid w:val="0"/>
        <w:spacing w:line="580" w:lineRule="exact"/>
        <w:ind w:firstLine="640" w:firstLineChars="200"/>
        <w:jc w:val="both"/>
        <w:rPr>
          <w:rFonts w:hint="eastAsia" w:ascii="黑体" w:hAnsi="黑体" w:eastAsia="黑体" w:cs="黑体"/>
          <w:b w:val="0"/>
          <w:bCs w:val="0"/>
          <w:color w:val="auto"/>
          <w:sz w:val="32"/>
          <w:szCs w:val="32"/>
          <w:highlight w:val="none"/>
        </w:rPr>
      </w:pPr>
      <w:r>
        <w:rPr>
          <w:rFonts w:hint="eastAsia" w:ascii="黑体" w:hAnsi="黑体" w:eastAsia="黑体" w:cs="黑体"/>
          <w:b w:val="0"/>
          <w:color w:val="auto"/>
          <w:kern w:val="0"/>
          <w:sz w:val="32"/>
          <w:szCs w:val="32"/>
          <w:highlight w:val="none"/>
        </w:rPr>
        <w:t>一</w:t>
      </w:r>
      <w:r>
        <w:rPr>
          <w:rFonts w:hint="eastAsia" w:ascii="黑体" w:hAnsi="黑体" w:eastAsia="黑体" w:cs="黑体"/>
          <w:b w:val="0"/>
          <w:bCs w:val="0"/>
          <w:color w:val="auto"/>
          <w:sz w:val="32"/>
          <w:szCs w:val="32"/>
          <w:highlight w:val="none"/>
        </w:rPr>
        <w:t>、评审组织机构和职责</w:t>
      </w:r>
      <w:bookmarkEnd w:id="20"/>
      <w:bookmarkEnd w:id="21"/>
      <w:bookmarkEnd w:id="22"/>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采购人评审小组是承担评</w:t>
      </w:r>
      <w:r>
        <w:rPr>
          <w:rFonts w:hint="eastAsia" w:ascii="仿宋_GB2312" w:hAnsi="仿宋_GB2312" w:eastAsia="仿宋_GB2312" w:cs="仿宋_GB2312"/>
          <w:color w:val="auto"/>
          <w:sz w:val="32"/>
          <w:szCs w:val="32"/>
          <w:highlight w:val="none"/>
          <w:lang w:eastAsia="zh-CN"/>
        </w:rPr>
        <w:t>审</w:t>
      </w:r>
      <w:r>
        <w:rPr>
          <w:rFonts w:hint="eastAsia" w:ascii="仿宋_GB2312" w:hAnsi="仿宋_GB2312" w:eastAsia="仿宋_GB2312" w:cs="仿宋_GB2312"/>
          <w:color w:val="auto"/>
          <w:sz w:val="32"/>
          <w:szCs w:val="32"/>
          <w:highlight w:val="none"/>
        </w:rPr>
        <w:t>职责的临时组织，负责通过对响应文件各评审因素的系统评审、比较，将合格的成交候选人以排序（名）的方式推荐给采购人（广州市自来水工程有限公司），由采购人依法最终确定成交人。</w:t>
      </w:r>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评审小组成员5人，由采购人</w:t>
      </w:r>
      <w:r>
        <w:rPr>
          <w:rFonts w:hint="eastAsia" w:ascii="仿宋_GB2312" w:hAnsi="仿宋_GB2312" w:eastAsia="仿宋_GB2312" w:cs="仿宋_GB2312"/>
          <w:color w:val="auto"/>
          <w:sz w:val="32"/>
          <w:szCs w:val="32"/>
          <w:highlight w:val="none"/>
          <w:lang w:eastAsia="zh-CN"/>
        </w:rPr>
        <w:t>风险管理职能部门</w:t>
      </w:r>
      <w:r>
        <w:rPr>
          <w:rFonts w:hint="eastAsia" w:ascii="仿宋_GB2312" w:hAnsi="仿宋_GB2312" w:eastAsia="仿宋_GB2312" w:cs="仿宋_GB2312"/>
          <w:color w:val="auto"/>
          <w:sz w:val="32"/>
          <w:szCs w:val="32"/>
          <w:highlight w:val="none"/>
        </w:rPr>
        <w:t>推荐1名，其他4名由</w:t>
      </w:r>
      <w:r>
        <w:rPr>
          <w:rFonts w:hint="eastAsia" w:ascii="仿宋_GB2312" w:hAnsi="仿宋_GB2312" w:eastAsia="仿宋_GB2312" w:cs="仿宋_GB2312"/>
          <w:color w:val="auto"/>
          <w:sz w:val="32"/>
          <w:szCs w:val="32"/>
          <w:highlight w:val="none"/>
          <w:lang w:eastAsia="zh-CN"/>
        </w:rPr>
        <w:t>采购人</w:t>
      </w:r>
      <w:r>
        <w:rPr>
          <w:rFonts w:hint="eastAsia" w:ascii="仿宋_GB2312" w:hAnsi="仿宋_GB2312" w:eastAsia="仿宋_GB2312" w:cs="仿宋_GB2312"/>
          <w:color w:val="auto"/>
          <w:sz w:val="32"/>
          <w:szCs w:val="32"/>
          <w:highlight w:val="none"/>
        </w:rPr>
        <w:t>工程管理部、经营管理部、财务部、人力资源部/党群工作部各推荐1名。</w:t>
      </w:r>
    </w:p>
    <w:p>
      <w:pPr>
        <w:snapToGrid w:val="0"/>
        <w:spacing w:line="580" w:lineRule="exact"/>
        <w:ind w:firstLine="640" w:firstLineChars="200"/>
        <w:rPr>
          <w:rFonts w:hint="eastAsia" w:ascii="黑体" w:hAnsi="黑体" w:eastAsia="黑体" w:cs="黑体"/>
          <w:color w:val="auto"/>
          <w:sz w:val="32"/>
          <w:szCs w:val="32"/>
          <w:highlight w:val="none"/>
        </w:rPr>
      </w:pPr>
      <w:r>
        <w:rPr>
          <w:rFonts w:hint="eastAsia" w:ascii="仿宋_GB2312" w:hAnsi="仿宋_GB2312" w:eastAsia="仿宋_GB2312" w:cs="仿宋_GB2312"/>
          <w:color w:val="auto"/>
          <w:sz w:val="32"/>
          <w:szCs w:val="32"/>
          <w:highlight w:val="none"/>
        </w:rPr>
        <w:t>评审小组成员名单在开标前确定，并在成交人确定前予以保密。</w:t>
      </w:r>
      <w:bookmarkStart w:id="23" w:name="_Toc240688059"/>
      <w:bookmarkStart w:id="24" w:name="_Toc196907007"/>
      <w:bookmarkStart w:id="25" w:name="_Toc243448682"/>
    </w:p>
    <w:p>
      <w:pPr>
        <w:pStyle w:val="13"/>
        <w:snapToGrid w:val="0"/>
        <w:spacing w:line="580" w:lineRule="exact"/>
        <w:ind w:firstLine="640" w:firstLineChars="200"/>
        <w:jc w:val="both"/>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二、评审程序</w:t>
      </w:r>
      <w:bookmarkEnd w:id="23"/>
      <w:bookmarkEnd w:id="24"/>
      <w:bookmarkEnd w:id="25"/>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采购人按照</w:t>
      </w:r>
      <w:r>
        <w:rPr>
          <w:rFonts w:hint="eastAsia" w:ascii="仿宋_GB2312" w:hAnsi="仿宋_GB2312" w:eastAsia="仿宋_GB2312" w:cs="仿宋_GB2312"/>
          <w:color w:val="auto"/>
          <w:sz w:val="32"/>
          <w:szCs w:val="32"/>
          <w:highlight w:val="none"/>
          <w:lang w:eastAsia="zh-CN"/>
        </w:rPr>
        <w:t>采购</w:t>
      </w:r>
      <w:r>
        <w:rPr>
          <w:rFonts w:hint="eastAsia" w:ascii="仿宋_GB2312" w:hAnsi="仿宋_GB2312" w:eastAsia="仿宋_GB2312" w:cs="仿宋_GB2312"/>
          <w:color w:val="auto"/>
          <w:sz w:val="32"/>
          <w:szCs w:val="32"/>
          <w:highlight w:val="none"/>
        </w:rPr>
        <w:t>文件规定时间在指定地点举行评审会议，评审小组对所有响应文件依本办法进行评审比较。</w:t>
      </w:r>
    </w:p>
    <w:p>
      <w:pPr>
        <w:snapToGrid w:val="0"/>
        <w:spacing w:line="580" w:lineRule="exact"/>
        <w:ind w:firstLine="640" w:firstLineChars="200"/>
        <w:rPr>
          <w:rFonts w:hint="eastAsia" w:ascii="黑体" w:hAnsi="黑体" w:eastAsia="黑体" w:cs="黑体"/>
          <w:color w:val="auto"/>
          <w:sz w:val="32"/>
          <w:szCs w:val="32"/>
          <w:highlight w:val="none"/>
        </w:rPr>
      </w:pPr>
      <w:r>
        <w:rPr>
          <w:rFonts w:hint="eastAsia" w:ascii="仿宋_GB2312" w:hAnsi="仿宋_GB2312" w:eastAsia="仿宋_GB2312" w:cs="仿宋_GB2312"/>
          <w:color w:val="auto"/>
          <w:sz w:val="32"/>
          <w:szCs w:val="32"/>
          <w:highlight w:val="none"/>
        </w:rPr>
        <w:t>评审按照响应文件</w:t>
      </w:r>
      <w:r>
        <w:rPr>
          <w:rFonts w:hint="eastAsia" w:ascii="仿宋_GB2312" w:hAnsi="仿宋_GB2312" w:eastAsia="仿宋_GB2312" w:cs="仿宋_GB2312"/>
          <w:color w:val="auto"/>
          <w:sz w:val="32"/>
          <w:szCs w:val="32"/>
          <w:highlight w:val="none"/>
          <w:lang w:eastAsia="zh-CN"/>
        </w:rPr>
        <w:t>符合性</w:t>
      </w:r>
      <w:r>
        <w:rPr>
          <w:rFonts w:hint="eastAsia" w:ascii="仿宋_GB2312" w:hAnsi="仿宋_GB2312" w:eastAsia="仿宋_GB2312" w:cs="仿宋_GB2312"/>
          <w:color w:val="auto"/>
          <w:sz w:val="32"/>
          <w:szCs w:val="32"/>
          <w:highlight w:val="none"/>
        </w:rPr>
        <w:t>审查、详细评审、推荐成交候选人三个步骤进行。</w:t>
      </w:r>
      <w:bookmarkStart w:id="26" w:name="_Toc196907008"/>
      <w:bookmarkStart w:id="27" w:name="_Toc240688060"/>
      <w:bookmarkStart w:id="28" w:name="_Toc243448683"/>
    </w:p>
    <w:p>
      <w:pPr>
        <w:pStyle w:val="13"/>
        <w:snapToGrid w:val="0"/>
        <w:spacing w:line="580" w:lineRule="exact"/>
        <w:ind w:firstLine="640" w:firstLineChars="200"/>
        <w:jc w:val="both"/>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三、</w:t>
      </w:r>
      <w:bookmarkEnd w:id="26"/>
      <w:bookmarkEnd w:id="27"/>
      <w:bookmarkEnd w:id="28"/>
      <w:r>
        <w:rPr>
          <w:rFonts w:hint="eastAsia" w:ascii="黑体" w:hAnsi="黑体" w:eastAsia="黑体" w:cs="黑体"/>
          <w:b w:val="0"/>
          <w:bCs w:val="0"/>
          <w:color w:val="auto"/>
          <w:sz w:val="32"/>
          <w:szCs w:val="32"/>
          <w:highlight w:val="none"/>
        </w:rPr>
        <w:t>响应文件</w:t>
      </w:r>
      <w:r>
        <w:rPr>
          <w:rFonts w:hint="eastAsia" w:ascii="黑体" w:hAnsi="黑体" w:eastAsia="黑体" w:cs="黑体"/>
          <w:b w:val="0"/>
          <w:bCs w:val="0"/>
          <w:color w:val="auto"/>
          <w:sz w:val="32"/>
          <w:szCs w:val="32"/>
          <w:highlight w:val="none"/>
          <w:lang w:eastAsia="zh-CN"/>
        </w:rPr>
        <w:t>符合性</w:t>
      </w:r>
      <w:r>
        <w:rPr>
          <w:rFonts w:hint="eastAsia" w:ascii="黑体" w:hAnsi="黑体" w:eastAsia="黑体" w:cs="黑体"/>
          <w:b w:val="0"/>
          <w:bCs w:val="0"/>
          <w:color w:val="auto"/>
          <w:sz w:val="32"/>
          <w:szCs w:val="32"/>
          <w:highlight w:val="none"/>
        </w:rPr>
        <w:t>审查</w:t>
      </w:r>
    </w:p>
    <w:p>
      <w:pPr>
        <w:snapToGrid w:val="0"/>
        <w:spacing w:line="580" w:lineRule="exact"/>
        <w:ind w:firstLine="6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响应文件审查以评审文件为依据，检查各响应文件是否响应采购文件的各项要求，确定各响应否有效。</w:t>
      </w:r>
    </w:p>
    <w:p>
      <w:pPr>
        <w:snapToGrid w:val="0"/>
        <w:spacing w:line="580" w:lineRule="exact"/>
        <w:ind w:firstLine="601"/>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响应文件审查的内容主要包括：</w:t>
      </w:r>
    </w:p>
    <w:p>
      <w:pPr>
        <w:snapToGrid w:val="0"/>
        <w:spacing w:line="580" w:lineRule="exact"/>
        <w:ind w:firstLine="6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报价的正确性及资料的完整性。</w:t>
      </w:r>
    </w:p>
    <w:p>
      <w:pPr>
        <w:snapToGrid w:val="0"/>
        <w:spacing w:line="580" w:lineRule="exact"/>
        <w:ind w:firstLine="601"/>
        <w:rPr>
          <w:rFonts w:hint="eastAsia" w:ascii="仿宋_GB2312" w:hAnsi="仿宋_GB2312" w:eastAsia="仿宋_GB2312" w:cs="仿宋_GB2312"/>
          <w:color w:val="auto"/>
          <w:kern w:val="0"/>
          <w:sz w:val="32"/>
          <w:szCs w:val="32"/>
          <w:highlight w:val="none"/>
        </w:rPr>
      </w:pPr>
      <w:r>
        <w:rPr>
          <w:rFonts w:hint="eastAsia" w:ascii="仿宋_GB2312" w:hAnsi="仿宋_GB2312" w:eastAsia="仿宋_GB2312" w:cs="仿宋_GB2312"/>
          <w:b w:val="0"/>
          <w:bCs/>
          <w:color w:val="auto"/>
          <w:kern w:val="0"/>
          <w:sz w:val="32"/>
          <w:szCs w:val="32"/>
          <w:highlight w:val="none"/>
        </w:rPr>
        <w:t>3</w:t>
      </w:r>
      <w:r>
        <w:rPr>
          <w:rFonts w:hint="eastAsia" w:ascii="仿宋_GB2312" w:hAnsi="仿宋_GB2312" w:eastAsia="仿宋_GB2312" w:cs="仿宋_GB2312"/>
          <w:b w:val="0"/>
          <w:bCs/>
          <w:color w:val="auto"/>
          <w:kern w:val="0"/>
          <w:sz w:val="32"/>
          <w:szCs w:val="32"/>
          <w:highlight w:val="none"/>
          <w:lang w:val="en-US" w:eastAsia="zh-CN"/>
        </w:rPr>
        <w:t>.</w:t>
      </w:r>
      <w:r>
        <w:rPr>
          <w:rFonts w:hint="eastAsia" w:ascii="仿宋_GB2312" w:hAnsi="仿宋_GB2312" w:eastAsia="仿宋_GB2312" w:cs="仿宋_GB2312"/>
          <w:color w:val="auto"/>
          <w:kern w:val="0"/>
          <w:sz w:val="32"/>
          <w:szCs w:val="32"/>
          <w:highlight w:val="none"/>
        </w:rPr>
        <w:t>对响应文件有偏差的，作以下处理：</w:t>
      </w:r>
    </w:p>
    <w:p>
      <w:pPr>
        <w:snapToGrid w:val="0"/>
        <w:spacing w:line="580" w:lineRule="exact"/>
        <w:ind w:firstLine="6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（1）对基本上符合采购文件的要求，但个别地方存在漏项等情况的细微偏差响应文件，要求在评标结束前书面做出相应的补充修改处理后转入详细评审。</w:t>
      </w:r>
    </w:p>
    <w:p>
      <w:pPr>
        <w:snapToGrid w:val="0"/>
        <w:spacing w:line="580" w:lineRule="exact"/>
        <w:ind w:firstLine="6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（2）未对采购文件实质性响应的响应文件，具有下列重大偏差情形之一的，认定其为废标文件，并不再对其详细评审：</w:t>
      </w:r>
    </w:p>
    <w:p>
      <w:pPr>
        <w:snapToGrid w:val="0"/>
        <w:spacing w:line="580" w:lineRule="exact"/>
        <w:ind w:firstLine="844" w:firstLineChars="264"/>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1）响应文件附有采购人不能接受的条件；</w:t>
      </w:r>
    </w:p>
    <w:p>
      <w:pPr>
        <w:snapToGrid w:val="0"/>
        <w:spacing w:line="580" w:lineRule="exact"/>
        <w:ind w:firstLine="844" w:firstLineChars="264"/>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2）响应文件的关键内容字迹模糊、无法辨认；</w:t>
      </w:r>
    </w:p>
    <w:p>
      <w:pPr>
        <w:snapToGrid w:val="0"/>
        <w:spacing w:line="580" w:lineRule="exact"/>
        <w:ind w:firstLine="844" w:firstLineChars="264"/>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3）响应文件中的响应报价没有响应人的负责人或授权代表签</w:t>
      </w:r>
      <w:r>
        <w:rPr>
          <w:rFonts w:hint="eastAsia" w:ascii="仿宋_GB2312" w:hAnsi="仿宋_GB2312" w:eastAsia="仿宋_GB2312" w:cs="仿宋_GB2312"/>
          <w:color w:val="auto"/>
          <w:sz w:val="32"/>
          <w:szCs w:val="32"/>
          <w:highlight w:val="none"/>
          <w:lang w:eastAsia="zh-CN"/>
        </w:rPr>
        <w:t>章</w:t>
      </w:r>
      <w:r>
        <w:rPr>
          <w:rFonts w:hint="eastAsia" w:ascii="仿宋_GB2312" w:hAnsi="仿宋_GB2312" w:eastAsia="仿宋_GB2312" w:cs="仿宋_GB2312"/>
          <w:color w:val="auto"/>
          <w:sz w:val="32"/>
          <w:szCs w:val="32"/>
          <w:highlight w:val="none"/>
        </w:rPr>
        <w:t>和加盖公章的；</w:t>
      </w:r>
    </w:p>
    <w:p>
      <w:pPr>
        <w:snapToGrid w:val="0"/>
        <w:spacing w:line="580" w:lineRule="exact"/>
        <w:ind w:firstLine="844" w:firstLineChars="264"/>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4）响应文件不符合采购文件中规定的其他实质性要求；</w:t>
      </w:r>
    </w:p>
    <w:p>
      <w:pPr>
        <w:snapToGrid w:val="0"/>
        <w:spacing w:line="580" w:lineRule="exact"/>
        <w:ind w:firstLine="844" w:firstLineChars="264"/>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5）响应文件中有其他违反法律规定或严重违规的。</w:t>
      </w:r>
    </w:p>
    <w:p>
      <w:pPr>
        <w:snapToGrid w:val="0"/>
        <w:spacing w:line="580" w:lineRule="exact"/>
        <w:ind w:firstLine="640" w:firstLineChars="200"/>
        <w:rPr>
          <w:rFonts w:hint="eastAsia" w:ascii="黑体" w:hAnsi="黑体" w:eastAsia="黑体" w:cs="黑体"/>
          <w:color w:val="auto"/>
          <w:sz w:val="32"/>
          <w:szCs w:val="32"/>
          <w:highlight w:val="none"/>
        </w:rPr>
      </w:pP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响应文件审查按照《响应文件审查表》（详见附见1）进行。对重大偏差的确认，须经评审小组三分之二成员同意。</w:t>
      </w:r>
      <w:bookmarkStart w:id="29" w:name="_Toc243448684"/>
      <w:bookmarkStart w:id="30" w:name="_Toc240688061"/>
      <w:bookmarkStart w:id="31" w:name="_Toc196907009"/>
    </w:p>
    <w:p>
      <w:pPr>
        <w:pStyle w:val="13"/>
        <w:snapToGrid w:val="0"/>
        <w:spacing w:line="580" w:lineRule="exact"/>
        <w:ind w:firstLine="640" w:firstLineChars="200"/>
        <w:jc w:val="both"/>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四、详细评审</w:t>
      </w:r>
      <w:bookmarkEnd w:id="29"/>
      <w:bookmarkEnd w:id="30"/>
      <w:bookmarkEnd w:id="31"/>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rPr>
        <w:t>1.经评审小组审查，符合要求的响应文件，再进行详细评审。</w:t>
      </w:r>
      <w:r>
        <w:rPr>
          <w:rFonts w:hint="eastAsia" w:ascii="仿宋_GB2312" w:hAnsi="仿宋_GB2312" w:eastAsia="仿宋_GB2312" w:cs="仿宋_GB2312"/>
          <w:color w:val="auto"/>
          <w:sz w:val="32"/>
          <w:szCs w:val="32"/>
          <w:highlight w:val="none"/>
        </w:rPr>
        <w:t>通过</w:t>
      </w:r>
      <w:r>
        <w:rPr>
          <w:rFonts w:hint="eastAsia" w:ascii="仿宋_GB2312" w:hAnsi="仿宋_GB2312" w:eastAsia="仿宋_GB2312" w:cs="仿宋_GB2312"/>
          <w:color w:val="auto"/>
          <w:kern w:val="0"/>
          <w:sz w:val="32"/>
          <w:szCs w:val="32"/>
          <w:highlight w:val="none"/>
        </w:rPr>
        <w:t>响应文件</w:t>
      </w:r>
      <w:r>
        <w:rPr>
          <w:rFonts w:hint="eastAsia" w:ascii="仿宋_GB2312" w:hAnsi="仿宋_GB2312" w:eastAsia="仿宋_GB2312" w:cs="仿宋_GB2312"/>
          <w:color w:val="auto"/>
          <w:sz w:val="32"/>
          <w:szCs w:val="32"/>
          <w:highlight w:val="none"/>
        </w:rPr>
        <w:t>符合性审查的响应人不足三家的或者递交响应文件不足三家的，将重新采购。</w:t>
      </w:r>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rPr>
        <w:t>2</w:t>
      </w:r>
      <w:r>
        <w:rPr>
          <w:rFonts w:hint="eastAsia" w:ascii="仿宋_GB2312" w:hAnsi="仿宋_GB2312" w:eastAsia="仿宋_GB2312" w:cs="仿宋_GB2312"/>
          <w:color w:val="auto"/>
          <w:kern w:val="0"/>
          <w:sz w:val="32"/>
          <w:szCs w:val="32"/>
          <w:highlight w:val="none"/>
          <w:lang w:val="en-US" w:eastAsia="zh-CN"/>
        </w:rPr>
        <w:t>.</w:t>
      </w:r>
      <w:r>
        <w:rPr>
          <w:rFonts w:hint="eastAsia" w:ascii="仿宋_GB2312" w:hAnsi="仿宋_GB2312" w:eastAsia="仿宋_GB2312" w:cs="仿宋_GB2312"/>
          <w:color w:val="auto"/>
          <w:sz w:val="32"/>
          <w:szCs w:val="32"/>
          <w:highlight w:val="none"/>
        </w:rPr>
        <w:t>详细评审是根据以下评审内容进行打分评审：</w:t>
      </w:r>
    </w:p>
    <w:tbl>
      <w:tblPr>
        <w:tblStyle w:val="14"/>
        <w:tblW w:w="8790" w:type="dxa"/>
        <w:tblInd w:w="39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87"/>
        <w:gridCol w:w="1065"/>
        <w:gridCol w:w="62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4" w:hRule="atLeast"/>
        </w:trPr>
        <w:tc>
          <w:tcPr>
            <w:tcW w:w="1487" w:type="dxa"/>
            <w:noWrap w:val="0"/>
            <w:vAlign w:val="center"/>
          </w:tcPr>
          <w:p>
            <w:pPr>
              <w:snapToGrid w:val="0"/>
              <w:spacing w:line="360" w:lineRule="auto"/>
              <w:jc w:val="center"/>
              <w:rPr>
                <w:rFonts w:hint="eastAsia" w:ascii="仿宋_GB2312" w:eastAsia="仿宋_GB2312"/>
                <w:b/>
                <w:color w:val="auto"/>
                <w:sz w:val="24"/>
                <w:highlight w:val="none"/>
              </w:rPr>
            </w:pPr>
            <w:r>
              <w:rPr>
                <w:rFonts w:hint="eastAsia" w:ascii="仿宋_GB2312" w:eastAsia="仿宋_GB2312"/>
                <w:b/>
                <w:color w:val="auto"/>
                <w:sz w:val="24"/>
                <w:highlight w:val="none"/>
              </w:rPr>
              <w:t>评审内容</w:t>
            </w:r>
          </w:p>
        </w:tc>
        <w:tc>
          <w:tcPr>
            <w:tcW w:w="1065" w:type="dxa"/>
            <w:noWrap w:val="0"/>
            <w:vAlign w:val="center"/>
          </w:tcPr>
          <w:p>
            <w:pPr>
              <w:snapToGrid w:val="0"/>
              <w:spacing w:line="360" w:lineRule="auto"/>
              <w:jc w:val="center"/>
              <w:rPr>
                <w:rFonts w:hint="eastAsia" w:ascii="仿宋_GB2312" w:eastAsia="仿宋_GB2312"/>
                <w:b/>
                <w:color w:val="auto"/>
                <w:sz w:val="24"/>
                <w:highlight w:val="none"/>
              </w:rPr>
            </w:pPr>
            <w:r>
              <w:rPr>
                <w:rFonts w:hint="eastAsia" w:ascii="仿宋_GB2312" w:eastAsia="仿宋_GB2312"/>
                <w:b/>
                <w:color w:val="auto"/>
                <w:sz w:val="24"/>
                <w:highlight w:val="none"/>
              </w:rPr>
              <w:t>权重分</w:t>
            </w:r>
          </w:p>
        </w:tc>
        <w:tc>
          <w:tcPr>
            <w:tcW w:w="6238" w:type="dxa"/>
            <w:noWrap w:val="0"/>
            <w:vAlign w:val="center"/>
          </w:tcPr>
          <w:p>
            <w:pPr>
              <w:snapToGrid w:val="0"/>
              <w:spacing w:line="360" w:lineRule="auto"/>
              <w:jc w:val="center"/>
              <w:rPr>
                <w:rFonts w:hint="eastAsia" w:ascii="仿宋_GB2312" w:eastAsia="仿宋_GB2312"/>
                <w:b/>
                <w:color w:val="auto"/>
                <w:sz w:val="24"/>
                <w:highlight w:val="none"/>
              </w:rPr>
            </w:pPr>
            <w:r>
              <w:rPr>
                <w:rFonts w:hint="eastAsia" w:ascii="仿宋_GB2312" w:eastAsia="仿宋_GB2312"/>
                <w:b/>
                <w:color w:val="auto"/>
                <w:sz w:val="24"/>
                <w:highlight w:val="none"/>
              </w:rPr>
              <w:t>评分标准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9" w:hRule="atLeast"/>
        </w:trPr>
        <w:tc>
          <w:tcPr>
            <w:tcW w:w="1487" w:type="dxa"/>
            <w:noWrap w:val="0"/>
            <w:vAlign w:val="center"/>
          </w:tcPr>
          <w:p>
            <w:pPr>
              <w:snapToGrid w:val="0"/>
              <w:spacing w:line="360" w:lineRule="auto"/>
              <w:jc w:val="center"/>
              <w:rPr>
                <w:rFonts w:hint="eastAsia" w:ascii="仿宋_GB2312" w:eastAsia="仿宋_GB2312"/>
                <w:color w:val="auto"/>
                <w:sz w:val="24"/>
                <w:highlight w:val="none"/>
              </w:rPr>
            </w:pPr>
            <w:r>
              <w:rPr>
                <w:rFonts w:hint="eastAsia" w:ascii="仿宋_GB2312" w:eastAsia="仿宋_GB2312"/>
                <w:color w:val="auto"/>
                <w:sz w:val="24"/>
                <w:highlight w:val="none"/>
              </w:rPr>
              <w:t>基础服务响应报价</w:t>
            </w:r>
          </w:p>
        </w:tc>
        <w:tc>
          <w:tcPr>
            <w:tcW w:w="1065" w:type="dxa"/>
            <w:noWrap w:val="0"/>
            <w:vAlign w:val="center"/>
          </w:tcPr>
          <w:p>
            <w:pPr>
              <w:snapToGrid w:val="0"/>
              <w:spacing w:line="360" w:lineRule="auto"/>
              <w:jc w:val="center"/>
              <w:rPr>
                <w:rFonts w:hint="eastAsia" w:ascii="仿宋_GB2312" w:eastAsia="仿宋_GB2312"/>
                <w:color w:val="auto"/>
                <w:sz w:val="24"/>
                <w:highlight w:val="none"/>
              </w:rPr>
            </w:pPr>
            <w:r>
              <w:rPr>
                <w:rFonts w:hint="eastAsia" w:ascii="仿宋_GB2312" w:eastAsia="仿宋_GB2312"/>
                <w:color w:val="auto"/>
                <w:sz w:val="24"/>
                <w:highlight w:val="none"/>
              </w:rPr>
              <w:t>30分</w:t>
            </w:r>
          </w:p>
        </w:tc>
        <w:tc>
          <w:tcPr>
            <w:tcW w:w="6238" w:type="dxa"/>
            <w:noWrap w:val="0"/>
            <w:vAlign w:val="top"/>
          </w:tcPr>
          <w:p>
            <w:pPr>
              <w:snapToGrid w:val="0"/>
              <w:spacing w:line="360" w:lineRule="auto"/>
              <w:rPr>
                <w:b/>
                <w:color w:val="auto"/>
                <w:sz w:val="24"/>
                <w:highlight w:val="none"/>
              </w:rPr>
            </w:pPr>
            <w:r>
              <w:rPr>
                <w:rFonts w:hint="eastAsia" w:ascii="仿宋_GB2312" w:eastAsia="仿宋_GB2312"/>
                <w:b/>
                <w:color w:val="auto"/>
                <w:sz w:val="24"/>
                <w:highlight w:val="none"/>
              </w:rPr>
              <w:t xml:space="preserve">    以全部有效响应人的报价算术平均值为基数计2</w:t>
            </w:r>
            <w:r>
              <w:rPr>
                <w:rFonts w:ascii="仿宋_GB2312" w:eastAsia="仿宋_GB2312"/>
                <w:b/>
                <w:color w:val="auto"/>
                <w:sz w:val="24"/>
                <w:highlight w:val="none"/>
              </w:rPr>
              <w:t>0</w:t>
            </w:r>
            <w:r>
              <w:rPr>
                <w:rFonts w:hint="eastAsia" w:ascii="仿宋_GB2312" w:eastAsia="仿宋_GB2312"/>
                <w:b/>
                <w:color w:val="auto"/>
                <w:sz w:val="24"/>
                <w:highlight w:val="none"/>
              </w:rPr>
              <w:t>分，报价高于或低于该平均值部分，每高1%扣0.5分，每低1%加0.5分，最高不超过30分。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36" w:hRule="atLeast"/>
        </w:trPr>
        <w:tc>
          <w:tcPr>
            <w:tcW w:w="1487" w:type="dxa"/>
            <w:noWrap w:val="0"/>
            <w:vAlign w:val="center"/>
          </w:tcPr>
          <w:p>
            <w:pPr>
              <w:snapToGrid w:val="0"/>
              <w:spacing w:line="360" w:lineRule="auto"/>
              <w:jc w:val="center"/>
              <w:rPr>
                <w:rFonts w:hint="eastAsia" w:ascii="仿宋_GB2312" w:eastAsia="仿宋_GB2312"/>
                <w:color w:val="auto"/>
                <w:sz w:val="24"/>
                <w:highlight w:val="none"/>
              </w:rPr>
            </w:pPr>
            <w:r>
              <w:rPr>
                <w:rFonts w:hint="eastAsia" w:ascii="仿宋_GB2312" w:eastAsia="仿宋_GB2312"/>
                <w:color w:val="auto"/>
                <w:sz w:val="24"/>
                <w:highlight w:val="none"/>
              </w:rPr>
              <w:t>服务方案响应程度</w:t>
            </w:r>
          </w:p>
          <w:p>
            <w:pPr>
              <w:snapToGrid w:val="0"/>
              <w:spacing w:line="360" w:lineRule="auto"/>
              <w:jc w:val="center"/>
              <w:rPr>
                <w:rFonts w:hint="eastAsia" w:ascii="仿宋_GB2312" w:eastAsia="仿宋_GB2312"/>
                <w:color w:val="auto"/>
                <w:sz w:val="24"/>
                <w:highlight w:val="none"/>
              </w:rPr>
            </w:pPr>
          </w:p>
        </w:tc>
        <w:tc>
          <w:tcPr>
            <w:tcW w:w="1065" w:type="dxa"/>
            <w:noWrap w:val="0"/>
            <w:vAlign w:val="center"/>
          </w:tcPr>
          <w:p>
            <w:pPr>
              <w:snapToGrid w:val="0"/>
              <w:spacing w:line="360" w:lineRule="auto"/>
              <w:jc w:val="center"/>
              <w:rPr>
                <w:rFonts w:hint="eastAsia" w:ascii="仿宋_GB2312" w:eastAsia="仿宋_GB2312"/>
                <w:color w:val="auto"/>
                <w:sz w:val="24"/>
                <w:highlight w:val="none"/>
              </w:rPr>
            </w:pPr>
            <w:r>
              <w:rPr>
                <w:rFonts w:hint="eastAsia" w:ascii="仿宋_GB2312" w:eastAsia="仿宋_GB2312"/>
                <w:color w:val="auto"/>
                <w:sz w:val="24"/>
                <w:highlight w:val="none"/>
              </w:rPr>
              <w:t>50分</w:t>
            </w:r>
          </w:p>
        </w:tc>
        <w:tc>
          <w:tcPr>
            <w:tcW w:w="6238" w:type="dxa"/>
            <w:noWrap w:val="0"/>
            <w:vAlign w:val="top"/>
          </w:tcPr>
          <w:p>
            <w:pPr>
              <w:snapToGrid w:val="0"/>
              <w:spacing w:line="360" w:lineRule="auto"/>
              <w:ind w:firstLine="482" w:firstLineChars="200"/>
              <w:rPr>
                <w:rFonts w:hint="eastAsia" w:ascii="仿宋_GB2312" w:eastAsia="仿宋_GB2312"/>
                <w:color w:val="auto"/>
                <w:sz w:val="24"/>
                <w:highlight w:val="none"/>
              </w:rPr>
            </w:pPr>
            <w:r>
              <w:rPr>
                <w:rFonts w:hint="eastAsia" w:ascii="仿宋_GB2312" w:eastAsia="仿宋_GB2312"/>
                <w:b/>
                <w:color w:val="auto"/>
                <w:sz w:val="24"/>
                <w:highlight w:val="none"/>
              </w:rPr>
              <w:t>1、</w:t>
            </w:r>
            <w:r>
              <w:rPr>
                <w:rFonts w:hint="eastAsia" w:ascii="仿宋_GB2312" w:eastAsia="仿宋_GB2312"/>
                <w:b/>
                <w:bCs/>
                <w:color w:val="auto"/>
                <w:sz w:val="24"/>
                <w:highlight w:val="none"/>
              </w:rPr>
              <w:t>对项目的理解与解读</w:t>
            </w:r>
            <w:r>
              <w:rPr>
                <w:rFonts w:hint="eastAsia" w:ascii="仿宋_GB2312" w:eastAsia="仿宋_GB2312"/>
                <w:b/>
                <w:color w:val="auto"/>
                <w:sz w:val="24"/>
                <w:highlight w:val="none"/>
              </w:rPr>
              <w:t>（10分）</w:t>
            </w:r>
            <w:r>
              <w:rPr>
                <w:rFonts w:hint="eastAsia" w:ascii="仿宋_GB2312" w:eastAsia="仿宋_GB2312"/>
                <w:b/>
                <w:bCs/>
                <w:color w:val="auto"/>
                <w:sz w:val="24"/>
                <w:highlight w:val="none"/>
              </w:rPr>
              <w:t>。</w:t>
            </w:r>
            <w:r>
              <w:rPr>
                <w:rFonts w:hint="eastAsia" w:ascii="仿宋_GB2312" w:eastAsia="仿宋_GB2312"/>
                <w:color w:val="auto"/>
                <w:sz w:val="24"/>
                <w:highlight w:val="none"/>
              </w:rPr>
              <w:t>根据方案思路清晰程度、完整性、合理性、熟悉程度进行比较，考察响应人是否具有中国《企业内部控制基本规范》的监管要求下实施内部控制项目工作的技能与经验，是否熟悉风险、内控、合规体系，是否对三合一项目有足够的理解和经验，是否熟悉本项目的工作特点、要求和技术流程。</w:t>
            </w:r>
          </w:p>
          <w:p>
            <w:pPr>
              <w:snapToGrid w:val="0"/>
              <w:spacing w:line="360" w:lineRule="auto"/>
              <w:ind w:firstLine="480" w:firstLineChars="200"/>
              <w:rPr>
                <w:rFonts w:hint="eastAsia" w:ascii="仿宋_GB2312" w:eastAsia="仿宋_GB2312"/>
                <w:color w:val="auto"/>
                <w:sz w:val="24"/>
                <w:highlight w:val="none"/>
              </w:rPr>
            </w:pPr>
            <w:r>
              <w:rPr>
                <w:rFonts w:hint="eastAsia" w:ascii="仿宋_GB2312" w:eastAsia="仿宋_GB2312"/>
                <w:color w:val="auto"/>
                <w:sz w:val="24"/>
                <w:highlight w:val="none"/>
              </w:rPr>
              <w:t>A.对项目理解准确，思路清晰，同时具有中国《企业内部控制基本规范》的监管要求下实施内部控制项目工作的技能与经验，熟悉风控、内控、合规体系，对三合一体系建设项目有足够的理解和经验，完全符合本项目的目标，得8-10分；</w:t>
            </w:r>
          </w:p>
          <w:p>
            <w:pPr>
              <w:snapToGrid w:val="0"/>
              <w:spacing w:line="360" w:lineRule="auto"/>
              <w:ind w:firstLine="480" w:firstLineChars="200"/>
              <w:rPr>
                <w:rFonts w:hint="eastAsia" w:ascii="仿宋_GB2312" w:eastAsia="仿宋_GB2312"/>
                <w:color w:val="auto"/>
                <w:sz w:val="24"/>
                <w:highlight w:val="none"/>
              </w:rPr>
            </w:pPr>
            <w:r>
              <w:rPr>
                <w:rFonts w:hint="eastAsia" w:ascii="仿宋_GB2312" w:eastAsia="仿宋_GB2312"/>
                <w:color w:val="auto"/>
                <w:sz w:val="24"/>
                <w:highlight w:val="none"/>
              </w:rPr>
              <w:t>B. 基本理解本项目，同时具有中国《企业内部控制基本规范》的监管要求下实施内部控制项目工作的技能与经验，基本熟悉风险、内控、合规体系，对三合一体系建设项目有足够的理解和项目经验，基本能符合本项目的目标，得5-7分；</w:t>
            </w:r>
          </w:p>
          <w:p>
            <w:pPr>
              <w:snapToGrid w:val="0"/>
              <w:spacing w:line="360" w:lineRule="auto"/>
              <w:ind w:firstLine="480" w:firstLineChars="200"/>
              <w:rPr>
                <w:rFonts w:ascii="仿宋_GB2312" w:eastAsia="仿宋_GB2312"/>
                <w:b/>
                <w:bCs/>
                <w:color w:val="auto"/>
                <w:sz w:val="24"/>
                <w:highlight w:val="none"/>
              </w:rPr>
            </w:pPr>
            <w:r>
              <w:rPr>
                <w:rFonts w:hint="eastAsia" w:ascii="仿宋_GB2312" w:eastAsia="仿宋_GB2312"/>
                <w:color w:val="auto"/>
                <w:sz w:val="24"/>
                <w:highlight w:val="none"/>
              </w:rPr>
              <w:t>C.大致理解本项目目标，提供简单的方案，方案内容部分符合本项目的目标，得1-4分。</w:t>
            </w:r>
          </w:p>
          <w:p>
            <w:pPr>
              <w:snapToGrid w:val="0"/>
              <w:spacing w:line="360" w:lineRule="auto"/>
              <w:ind w:firstLine="482" w:firstLineChars="200"/>
              <w:rPr>
                <w:rFonts w:hint="eastAsia" w:ascii="仿宋_GB2312" w:eastAsia="仿宋_GB2312"/>
                <w:color w:val="auto"/>
                <w:sz w:val="24"/>
                <w:highlight w:val="none"/>
              </w:rPr>
            </w:pPr>
            <w:r>
              <w:rPr>
                <w:rFonts w:hint="eastAsia" w:ascii="仿宋_GB2312" w:eastAsia="仿宋_GB2312"/>
                <w:b/>
                <w:bCs/>
                <w:color w:val="auto"/>
                <w:sz w:val="24"/>
                <w:highlight w:val="none"/>
              </w:rPr>
              <w:t>2、工作方案，进度计划及资源配备</w:t>
            </w:r>
            <w:r>
              <w:rPr>
                <w:rFonts w:hint="eastAsia" w:ascii="仿宋_GB2312" w:eastAsia="仿宋_GB2312"/>
                <w:b/>
                <w:color w:val="auto"/>
                <w:sz w:val="24"/>
                <w:highlight w:val="none"/>
              </w:rPr>
              <w:t>（25分）</w:t>
            </w:r>
            <w:r>
              <w:rPr>
                <w:rFonts w:hint="eastAsia" w:ascii="仿宋_GB2312" w:eastAsia="仿宋_GB2312"/>
                <w:b/>
                <w:bCs/>
                <w:color w:val="auto"/>
                <w:sz w:val="24"/>
                <w:highlight w:val="none"/>
              </w:rPr>
              <w:t>。</w:t>
            </w:r>
            <w:r>
              <w:rPr>
                <w:rFonts w:hint="eastAsia" w:ascii="仿宋_GB2312" w:eastAsia="仿宋_GB2312"/>
                <w:color w:val="auto"/>
                <w:sz w:val="24"/>
                <w:highlight w:val="none"/>
              </w:rPr>
              <w:t>根据采购人需求，对项目工作重点、难点分析合理，关键节点的控制措施合理可行，提出工作方案，项目人员配备合理，有足够的人力确保本项目的顺利完成。根据方案中各项事务开展的方式、具体内容、人员配置等综合评定。</w:t>
            </w:r>
          </w:p>
          <w:p>
            <w:pPr>
              <w:snapToGrid w:val="0"/>
              <w:spacing w:line="360" w:lineRule="auto"/>
              <w:ind w:firstLine="480" w:firstLineChars="200"/>
              <w:rPr>
                <w:rFonts w:hint="eastAsia" w:ascii="仿宋_GB2312" w:eastAsia="仿宋_GB2312"/>
                <w:color w:val="auto"/>
                <w:sz w:val="24"/>
                <w:highlight w:val="none"/>
              </w:rPr>
            </w:pPr>
            <w:r>
              <w:rPr>
                <w:rFonts w:hint="eastAsia" w:ascii="仿宋_GB2312" w:eastAsia="仿宋_GB2312"/>
                <w:color w:val="auto"/>
                <w:sz w:val="24"/>
                <w:highlight w:val="none"/>
              </w:rPr>
              <w:t>A. 对项目工作重点、难点分析合理，能提供清晰高效的服务方案，工作时间与进度计划编排合理，资源配置良好，人员资质、素质和经验等情况符合工作要求，完全满足本项目的进度要求，得21-25分；</w:t>
            </w:r>
          </w:p>
          <w:p>
            <w:pPr>
              <w:snapToGrid w:val="0"/>
              <w:spacing w:line="360" w:lineRule="auto"/>
              <w:ind w:firstLine="480" w:firstLineChars="200"/>
              <w:rPr>
                <w:rFonts w:hint="eastAsia" w:ascii="仿宋_GB2312" w:eastAsia="仿宋_GB2312"/>
                <w:color w:val="auto"/>
                <w:sz w:val="24"/>
                <w:highlight w:val="none"/>
              </w:rPr>
            </w:pPr>
            <w:r>
              <w:rPr>
                <w:rFonts w:hint="eastAsia" w:ascii="仿宋_GB2312" w:eastAsia="仿宋_GB2312"/>
                <w:color w:val="auto"/>
                <w:sz w:val="24"/>
                <w:highlight w:val="none"/>
              </w:rPr>
              <w:t>B. 能基本理解本项目工作重点、难点，提供可行具体的方案和方法，基本能调配资源，基本满足本项目进度要求，得11-20分；</w:t>
            </w:r>
          </w:p>
          <w:p>
            <w:pPr>
              <w:snapToGrid w:val="0"/>
              <w:spacing w:line="360" w:lineRule="auto"/>
              <w:ind w:firstLine="480" w:firstLineChars="200"/>
              <w:rPr>
                <w:rFonts w:ascii="仿宋_GB2312" w:eastAsia="仿宋_GB2312"/>
                <w:color w:val="auto"/>
                <w:sz w:val="24"/>
                <w:highlight w:val="none"/>
              </w:rPr>
            </w:pPr>
            <w:r>
              <w:rPr>
                <w:rFonts w:hint="eastAsia" w:ascii="仿宋_GB2312" w:eastAsia="仿宋_GB2312"/>
                <w:color w:val="auto"/>
                <w:sz w:val="24"/>
                <w:highlight w:val="none"/>
              </w:rPr>
              <w:t xml:space="preserve">C.能简单理解本项目工作重点、难点，工作方案不清晰，人员资质、素质和经验不足，得1-10分； </w:t>
            </w:r>
          </w:p>
          <w:p>
            <w:pPr>
              <w:snapToGrid w:val="0"/>
              <w:spacing w:line="360" w:lineRule="auto"/>
              <w:ind w:firstLine="482" w:firstLineChars="200"/>
              <w:rPr>
                <w:rFonts w:hint="eastAsia" w:ascii="仿宋_GB2312" w:eastAsia="仿宋_GB2312"/>
                <w:color w:val="auto"/>
                <w:sz w:val="24"/>
                <w:highlight w:val="none"/>
              </w:rPr>
            </w:pPr>
            <w:r>
              <w:rPr>
                <w:rFonts w:hint="eastAsia" w:ascii="仿宋_GB2312" w:eastAsia="仿宋_GB2312"/>
                <w:b/>
                <w:color w:val="auto"/>
                <w:sz w:val="24"/>
                <w:highlight w:val="none"/>
              </w:rPr>
              <w:t>3、项目成果（15分）</w:t>
            </w:r>
            <w:r>
              <w:rPr>
                <w:rFonts w:hint="eastAsia" w:ascii="仿宋_GB2312" w:eastAsia="仿宋_GB2312"/>
                <w:color w:val="auto"/>
                <w:sz w:val="24"/>
                <w:highlight w:val="none"/>
              </w:rPr>
              <w:t>。完全响应采购文件前</w:t>
            </w:r>
            <w:r>
              <w:rPr>
                <w:rFonts w:hint="eastAsia" w:ascii="仿宋_GB2312" w:eastAsia="仿宋_GB2312"/>
                <w:color w:val="auto"/>
                <w:sz w:val="24"/>
                <w:highlight w:val="none"/>
                <w:lang w:val="en-US" w:eastAsia="zh-CN"/>
              </w:rPr>
              <w:t>10</w:t>
            </w:r>
            <w:r>
              <w:rPr>
                <w:rFonts w:hint="eastAsia" w:ascii="仿宋_GB2312" w:eastAsia="仿宋_GB2312"/>
                <w:color w:val="auto"/>
                <w:sz w:val="24"/>
                <w:highlight w:val="none"/>
              </w:rPr>
              <w:t>项成果要求，得10分；凡增加一项项目成果加1分，最高加5分。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87" w:type="dxa"/>
            <w:vMerge w:val="restart"/>
            <w:noWrap w:val="0"/>
            <w:vAlign w:val="center"/>
          </w:tcPr>
          <w:p>
            <w:pPr>
              <w:snapToGrid w:val="0"/>
              <w:spacing w:line="360" w:lineRule="auto"/>
              <w:jc w:val="center"/>
              <w:rPr>
                <w:rFonts w:hint="eastAsia" w:ascii="仿宋_GB2312" w:eastAsia="仿宋_GB2312"/>
                <w:color w:val="auto"/>
                <w:sz w:val="24"/>
                <w:highlight w:val="none"/>
              </w:rPr>
            </w:pPr>
            <w:r>
              <w:rPr>
                <w:rFonts w:hint="eastAsia" w:ascii="仿宋_GB2312" w:eastAsia="仿宋_GB2312"/>
                <w:color w:val="auto"/>
                <w:sz w:val="24"/>
                <w:highlight w:val="none"/>
              </w:rPr>
              <w:t>服务团队综合资质</w:t>
            </w:r>
          </w:p>
        </w:tc>
        <w:tc>
          <w:tcPr>
            <w:tcW w:w="1065" w:type="dxa"/>
            <w:vMerge w:val="restart"/>
            <w:noWrap w:val="0"/>
            <w:vAlign w:val="center"/>
          </w:tcPr>
          <w:p>
            <w:pPr>
              <w:snapToGrid w:val="0"/>
              <w:spacing w:line="360" w:lineRule="auto"/>
              <w:jc w:val="center"/>
              <w:rPr>
                <w:rFonts w:hint="eastAsia" w:ascii="仿宋_GB2312" w:eastAsia="仿宋_GB2312"/>
                <w:color w:val="auto"/>
                <w:sz w:val="24"/>
                <w:highlight w:val="none"/>
              </w:rPr>
            </w:pPr>
            <w:r>
              <w:rPr>
                <w:rFonts w:ascii="仿宋_GB2312" w:eastAsia="仿宋_GB2312"/>
                <w:color w:val="auto"/>
                <w:sz w:val="24"/>
                <w:highlight w:val="none"/>
              </w:rPr>
              <w:t>1</w:t>
            </w:r>
            <w:r>
              <w:rPr>
                <w:rFonts w:hint="eastAsia" w:ascii="仿宋_GB2312" w:eastAsia="仿宋_GB2312"/>
                <w:color w:val="auto"/>
                <w:sz w:val="24"/>
                <w:highlight w:val="none"/>
              </w:rPr>
              <w:t>0分</w:t>
            </w:r>
          </w:p>
        </w:tc>
        <w:tc>
          <w:tcPr>
            <w:tcW w:w="6238" w:type="dxa"/>
            <w:noWrap w:val="0"/>
            <w:vAlign w:val="top"/>
          </w:tcPr>
          <w:p>
            <w:pPr>
              <w:snapToGrid w:val="0"/>
              <w:spacing w:line="360" w:lineRule="auto"/>
              <w:ind w:firstLine="482" w:firstLineChars="200"/>
              <w:rPr>
                <w:rFonts w:hint="eastAsia" w:ascii="仿宋_GB2312" w:eastAsia="仿宋_GB2312"/>
                <w:color w:val="auto"/>
                <w:sz w:val="24"/>
                <w:highlight w:val="none"/>
              </w:rPr>
            </w:pPr>
            <w:r>
              <w:rPr>
                <w:rFonts w:hint="eastAsia" w:ascii="仿宋_GB2312" w:eastAsia="仿宋_GB2312"/>
                <w:b/>
                <w:color w:val="auto"/>
                <w:sz w:val="24"/>
                <w:highlight w:val="none"/>
              </w:rPr>
              <w:t>1、配备人数（1-7分）。</w:t>
            </w:r>
            <w:r>
              <w:rPr>
                <w:rFonts w:hint="eastAsia" w:ascii="仿宋_GB2312" w:eastAsia="仿宋_GB2312"/>
                <w:color w:val="auto"/>
                <w:sz w:val="24"/>
                <w:highlight w:val="none"/>
              </w:rPr>
              <w:t>配备四名人员得5分，每增加1名加1分，合计不超过7分（其中至少1名项目负责人具有5年及以上</w:t>
            </w:r>
            <w:r>
              <w:rPr>
                <w:rFonts w:hint="eastAsia" w:ascii="仿宋_GB2312" w:hAnsi="仿宋_GB2312" w:eastAsia="仿宋_GB2312" w:cs="仿宋_GB2312"/>
                <w:color w:val="auto"/>
                <w:spacing w:val="4"/>
                <w:kern w:val="0"/>
                <w:sz w:val="24"/>
                <w:highlight w:val="none"/>
              </w:rPr>
              <w:t>风险、内控或合规管理咨询</w:t>
            </w:r>
            <w:r>
              <w:rPr>
                <w:rFonts w:hint="eastAsia" w:ascii="仿宋_GB2312" w:eastAsia="仿宋_GB2312"/>
                <w:color w:val="auto"/>
                <w:sz w:val="24"/>
                <w:highlight w:val="none"/>
              </w:rPr>
              <w:t>工作经验；其他服务人员至少3人，且均具有风险内控或合规管理咨询工作经验）。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87" w:type="dxa"/>
            <w:vMerge w:val="continue"/>
            <w:noWrap w:val="0"/>
            <w:vAlign w:val="center"/>
          </w:tcPr>
          <w:p>
            <w:pPr>
              <w:snapToGrid w:val="0"/>
              <w:spacing w:line="360" w:lineRule="auto"/>
              <w:jc w:val="center"/>
              <w:rPr>
                <w:color w:val="auto"/>
                <w:highlight w:val="none"/>
              </w:rPr>
              <w:pPrChange w:id="0" w:author="佘质斌" w:date="2021-04-19T15:22:00Z">
                <w:pPr/>
              </w:pPrChange>
            </w:pPr>
          </w:p>
        </w:tc>
        <w:tc>
          <w:tcPr>
            <w:tcW w:w="1065" w:type="dxa"/>
            <w:vMerge w:val="continue"/>
            <w:noWrap w:val="0"/>
            <w:vAlign w:val="center"/>
          </w:tcPr>
          <w:p>
            <w:pPr>
              <w:snapToGrid w:val="0"/>
              <w:spacing w:line="360" w:lineRule="auto"/>
              <w:jc w:val="center"/>
              <w:rPr>
                <w:color w:val="auto"/>
                <w:highlight w:val="none"/>
              </w:rPr>
              <w:pPrChange w:id="1" w:author="佘质斌" w:date="2021-04-19T15:22:00Z">
                <w:pPr/>
              </w:pPrChange>
            </w:pPr>
          </w:p>
        </w:tc>
        <w:tc>
          <w:tcPr>
            <w:tcW w:w="6238" w:type="dxa"/>
            <w:noWrap w:val="0"/>
            <w:vAlign w:val="top"/>
          </w:tcPr>
          <w:p>
            <w:pPr>
              <w:snapToGrid w:val="0"/>
              <w:spacing w:line="360" w:lineRule="auto"/>
              <w:ind w:firstLine="482" w:firstLineChars="200"/>
              <w:rPr>
                <w:rFonts w:hint="eastAsia" w:ascii="仿宋_GB2312" w:eastAsia="仿宋_GB2312"/>
                <w:color w:val="auto"/>
                <w:sz w:val="24"/>
                <w:highlight w:val="none"/>
              </w:rPr>
            </w:pPr>
            <w:r>
              <w:rPr>
                <w:rFonts w:hint="eastAsia" w:ascii="仿宋_GB2312" w:eastAsia="仿宋_GB2312"/>
                <w:b/>
                <w:color w:val="auto"/>
                <w:sz w:val="24"/>
                <w:highlight w:val="none"/>
              </w:rPr>
              <w:t>2、配备服务团队从业年限（1-3分）。</w:t>
            </w:r>
            <w:r>
              <w:rPr>
                <w:rFonts w:hint="eastAsia" w:ascii="仿宋_GB2312" w:eastAsia="仿宋_GB2312"/>
                <w:color w:val="auto"/>
                <w:sz w:val="24"/>
                <w:highlight w:val="none"/>
              </w:rPr>
              <w:t>服务团队成员从业平均年限</w:t>
            </w:r>
            <w:r>
              <w:rPr>
                <w:rFonts w:hint="eastAsia" w:ascii="仿宋_GB2312" w:eastAsia="仿宋_GB2312"/>
                <w:b/>
                <w:color w:val="auto"/>
                <w:sz w:val="24"/>
                <w:highlight w:val="none"/>
              </w:rPr>
              <w:t>横向比较排名，排名第一得3分，其余排名每靠后一名得分依次减少1</w:t>
            </w:r>
            <w:r>
              <w:rPr>
                <w:rFonts w:ascii="仿宋_GB2312" w:eastAsia="仿宋_GB2312"/>
                <w:b/>
                <w:color w:val="auto"/>
                <w:sz w:val="24"/>
                <w:highlight w:val="none"/>
              </w:rPr>
              <w:t>分</w:t>
            </w:r>
            <w:r>
              <w:rPr>
                <w:rFonts w:hint="eastAsia" w:ascii="仿宋_GB2312" w:eastAsia="仿宋_GB2312"/>
                <w:b/>
                <w:color w:val="auto"/>
                <w:sz w:val="24"/>
                <w:highlight w:val="none"/>
                <w:lang w:eastAsia="zh-CN"/>
              </w:rPr>
              <w:t>，最低得</w:t>
            </w:r>
            <w:r>
              <w:rPr>
                <w:rFonts w:hint="eastAsia" w:ascii="仿宋_GB2312" w:eastAsia="仿宋_GB2312"/>
                <w:b/>
                <w:color w:val="auto"/>
                <w:sz w:val="24"/>
                <w:highlight w:val="none"/>
                <w:lang w:val="en-US" w:eastAsia="zh-CN"/>
              </w:rPr>
              <w:t>0分</w:t>
            </w:r>
            <w:r>
              <w:rPr>
                <w:rFonts w:hint="eastAsia" w:ascii="仿宋_GB2312" w:eastAsia="仿宋_GB2312"/>
                <w:b/>
                <w:color w:val="auto"/>
                <w:sz w:val="24"/>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0" w:hRule="atLeast"/>
        </w:trPr>
        <w:tc>
          <w:tcPr>
            <w:tcW w:w="1487" w:type="dxa"/>
            <w:vMerge w:val="restart"/>
            <w:noWrap w:val="0"/>
            <w:vAlign w:val="center"/>
          </w:tcPr>
          <w:p>
            <w:pPr>
              <w:snapToGrid w:val="0"/>
              <w:spacing w:line="360" w:lineRule="auto"/>
              <w:jc w:val="center"/>
              <w:rPr>
                <w:rFonts w:hint="eastAsia" w:ascii="仿宋_GB2312" w:eastAsia="仿宋_GB2312"/>
                <w:color w:val="auto"/>
                <w:sz w:val="24"/>
                <w:highlight w:val="none"/>
              </w:rPr>
            </w:pPr>
            <w:r>
              <w:rPr>
                <w:rFonts w:hint="eastAsia" w:ascii="仿宋_GB2312" w:eastAsia="仿宋_GB2312"/>
                <w:color w:val="auto"/>
                <w:sz w:val="24"/>
                <w:highlight w:val="none"/>
              </w:rPr>
              <w:t>项目业绩</w:t>
            </w:r>
          </w:p>
        </w:tc>
        <w:tc>
          <w:tcPr>
            <w:tcW w:w="1065" w:type="dxa"/>
            <w:vMerge w:val="restart"/>
            <w:noWrap w:val="0"/>
            <w:vAlign w:val="center"/>
          </w:tcPr>
          <w:p>
            <w:pPr>
              <w:snapToGrid w:val="0"/>
              <w:spacing w:line="360" w:lineRule="auto"/>
              <w:jc w:val="center"/>
              <w:rPr>
                <w:rFonts w:hint="eastAsia" w:ascii="仿宋_GB2312" w:eastAsia="仿宋_GB2312"/>
                <w:color w:val="auto"/>
                <w:sz w:val="24"/>
                <w:highlight w:val="none"/>
              </w:rPr>
            </w:pPr>
            <w:r>
              <w:rPr>
                <w:rFonts w:hint="eastAsia" w:ascii="仿宋_GB2312" w:eastAsia="仿宋_GB2312"/>
                <w:color w:val="auto"/>
                <w:sz w:val="24"/>
                <w:highlight w:val="none"/>
              </w:rPr>
              <w:t>1</w:t>
            </w:r>
            <w:r>
              <w:rPr>
                <w:rFonts w:ascii="仿宋_GB2312" w:eastAsia="仿宋_GB2312"/>
                <w:color w:val="auto"/>
                <w:sz w:val="24"/>
                <w:highlight w:val="none"/>
              </w:rPr>
              <w:t>0</w:t>
            </w:r>
            <w:r>
              <w:rPr>
                <w:rFonts w:hint="eastAsia" w:ascii="仿宋_GB2312" w:eastAsia="仿宋_GB2312"/>
                <w:color w:val="auto"/>
                <w:sz w:val="24"/>
                <w:highlight w:val="none"/>
              </w:rPr>
              <w:t>分</w:t>
            </w:r>
          </w:p>
        </w:tc>
        <w:tc>
          <w:tcPr>
            <w:tcW w:w="6238" w:type="dxa"/>
            <w:tcBorders>
              <w:bottom w:val="single" w:color="auto" w:sz="4" w:space="0"/>
            </w:tcBorders>
            <w:noWrap w:val="0"/>
            <w:vAlign w:val="center"/>
          </w:tcPr>
          <w:p>
            <w:pPr>
              <w:snapToGrid w:val="0"/>
              <w:spacing w:line="360" w:lineRule="auto"/>
              <w:ind w:firstLine="482" w:firstLineChars="200"/>
              <w:rPr>
                <w:rFonts w:hint="eastAsia" w:ascii="仿宋_GB2312" w:eastAsia="仿宋_GB2312"/>
                <w:color w:val="auto"/>
                <w:sz w:val="24"/>
                <w:highlight w:val="none"/>
              </w:rPr>
            </w:pPr>
            <w:r>
              <w:rPr>
                <w:rFonts w:hint="eastAsia" w:ascii="仿宋_GB2312" w:eastAsia="仿宋_GB2312"/>
                <w:b/>
                <w:color w:val="auto"/>
                <w:sz w:val="24"/>
                <w:highlight w:val="none"/>
              </w:rPr>
              <w:t>1、风控、内控、合规管理单项咨询经验（</w:t>
            </w:r>
            <w:r>
              <w:rPr>
                <w:rFonts w:hint="eastAsia" w:ascii="仿宋_GB2312" w:eastAsia="仿宋_GB2312"/>
                <w:b/>
                <w:color w:val="auto"/>
                <w:sz w:val="24"/>
                <w:highlight w:val="none"/>
                <w:lang w:val="en-US" w:eastAsia="zh-CN"/>
              </w:rPr>
              <w:t>6</w:t>
            </w:r>
            <w:r>
              <w:rPr>
                <w:rFonts w:hint="eastAsia" w:ascii="仿宋_GB2312" w:eastAsia="仿宋_GB2312"/>
                <w:b/>
                <w:color w:val="auto"/>
                <w:sz w:val="24"/>
                <w:highlight w:val="none"/>
              </w:rPr>
              <w:t>分）</w:t>
            </w:r>
            <w:r>
              <w:rPr>
                <w:rFonts w:hint="eastAsia" w:ascii="仿宋_GB2312" w:eastAsia="仿宋_GB2312"/>
                <w:color w:val="auto"/>
                <w:sz w:val="24"/>
                <w:highlight w:val="none"/>
              </w:rPr>
              <w:t>。项目服务团队近三年内有完成过国有企业风险防控管理咨询、内部控制管理咨询、合规管理咨询单个项目业绩。无论合同金额大小，每个项目得1分,最高得</w:t>
            </w:r>
            <w:r>
              <w:rPr>
                <w:rFonts w:hint="eastAsia" w:ascii="仿宋_GB2312" w:eastAsia="仿宋_GB2312"/>
                <w:color w:val="auto"/>
                <w:sz w:val="24"/>
                <w:highlight w:val="none"/>
                <w:lang w:val="en-US" w:eastAsia="zh-CN"/>
              </w:rPr>
              <w:t>6</w:t>
            </w:r>
            <w:r>
              <w:rPr>
                <w:rFonts w:hint="eastAsia" w:ascii="仿宋_GB2312" w:eastAsia="仿宋_GB2312"/>
                <w:color w:val="auto"/>
                <w:sz w:val="24"/>
                <w:highlight w:val="none"/>
              </w:rPr>
              <w:t>分（同一甲方单位的多个同类项目，按一个计算）。三体系整合建设项目经验的除外。相关业绩需提供合同复印件作为有效证明材料。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4" w:hRule="atLeast"/>
        </w:trPr>
        <w:tc>
          <w:tcPr>
            <w:tcW w:w="1487" w:type="dxa"/>
            <w:vMerge w:val="continue"/>
            <w:noWrap w:val="0"/>
            <w:vAlign w:val="center"/>
          </w:tcPr>
          <w:p>
            <w:pPr>
              <w:snapToGrid w:val="0"/>
              <w:spacing w:line="360" w:lineRule="auto"/>
              <w:jc w:val="center"/>
              <w:rPr>
                <w:color w:val="auto"/>
                <w:highlight w:val="none"/>
              </w:rPr>
              <w:pPrChange w:id="2" w:author="佘质斌" w:date="2021-04-19T15:22:00Z">
                <w:pPr>
                  <w:jc w:val="center"/>
                </w:pPr>
              </w:pPrChange>
            </w:pPr>
          </w:p>
        </w:tc>
        <w:tc>
          <w:tcPr>
            <w:tcW w:w="1065" w:type="dxa"/>
            <w:vMerge w:val="continue"/>
            <w:noWrap w:val="0"/>
            <w:vAlign w:val="center"/>
          </w:tcPr>
          <w:p>
            <w:pPr>
              <w:snapToGrid w:val="0"/>
              <w:spacing w:line="360" w:lineRule="auto"/>
              <w:jc w:val="center"/>
              <w:rPr>
                <w:color w:val="auto"/>
                <w:highlight w:val="none"/>
              </w:rPr>
              <w:pPrChange w:id="3" w:author="佘质斌" w:date="2021-04-19T15:22:00Z">
                <w:pPr>
                  <w:jc w:val="center"/>
                </w:pPr>
              </w:pPrChange>
            </w:pPr>
          </w:p>
        </w:tc>
        <w:tc>
          <w:tcPr>
            <w:tcW w:w="6238" w:type="dxa"/>
            <w:tcBorders>
              <w:top w:val="single" w:color="auto" w:sz="4" w:space="0"/>
            </w:tcBorders>
            <w:noWrap w:val="0"/>
            <w:vAlign w:val="top"/>
          </w:tcPr>
          <w:p>
            <w:pPr>
              <w:snapToGrid w:val="0"/>
              <w:spacing w:line="360" w:lineRule="auto"/>
              <w:ind w:firstLine="482" w:firstLineChars="200"/>
              <w:rPr>
                <w:rFonts w:hint="eastAsia" w:ascii="仿宋_GB2312" w:eastAsia="仿宋_GB2312"/>
                <w:color w:val="auto"/>
                <w:sz w:val="24"/>
                <w:highlight w:val="none"/>
              </w:rPr>
            </w:pPr>
            <w:r>
              <w:rPr>
                <w:rFonts w:hint="eastAsia" w:ascii="仿宋_GB2312" w:eastAsia="仿宋_GB2312"/>
                <w:b/>
                <w:color w:val="auto"/>
                <w:sz w:val="24"/>
                <w:highlight w:val="none"/>
                <w:lang w:val="en-US" w:eastAsia="zh-CN"/>
              </w:rPr>
              <w:t>2</w:t>
            </w:r>
            <w:r>
              <w:rPr>
                <w:rFonts w:hint="eastAsia" w:ascii="仿宋_GB2312" w:eastAsia="仿宋_GB2312"/>
                <w:b/>
                <w:color w:val="auto"/>
                <w:sz w:val="24"/>
                <w:highlight w:val="none"/>
              </w:rPr>
              <w:t>、风险、内控、合规三体系整合建设项目经验（</w:t>
            </w:r>
            <w:r>
              <w:rPr>
                <w:rFonts w:hint="eastAsia" w:ascii="仿宋_GB2312" w:eastAsia="仿宋_GB2312"/>
                <w:b/>
                <w:color w:val="auto"/>
                <w:sz w:val="24"/>
                <w:highlight w:val="none"/>
                <w:lang w:val="en-US" w:eastAsia="zh-CN"/>
              </w:rPr>
              <w:t>4</w:t>
            </w:r>
            <w:r>
              <w:rPr>
                <w:rFonts w:hint="eastAsia" w:ascii="仿宋_GB2312" w:eastAsia="仿宋_GB2312"/>
                <w:b/>
                <w:color w:val="auto"/>
                <w:sz w:val="24"/>
                <w:highlight w:val="none"/>
              </w:rPr>
              <w:t>分）。</w:t>
            </w:r>
            <w:r>
              <w:rPr>
                <w:rFonts w:hint="eastAsia" w:ascii="仿宋_GB2312" w:eastAsia="仿宋_GB2312"/>
                <w:color w:val="auto"/>
                <w:sz w:val="24"/>
                <w:highlight w:val="none"/>
              </w:rPr>
              <w:t>项目服务团队近三年内有风险内控合规三体系整合建设项目经验。无论合同金额大小，每个业绩得</w:t>
            </w:r>
            <w:r>
              <w:rPr>
                <w:rFonts w:hint="eastAsia" w:ascii="仿宋_GB2312" w:eastAsia="仿宋_GB2312"/>
                <w:color w:val="auto"/>
                <w:sz w:val="24"/>
                <w:highlight w:val="none"/>
                <w:lang w:val="en-US" w:eastAsia="zh-CN"/>
              </w:rPr>
              <w:t>2</w:t>
            </w:r>
            <w:r>
              <w:rPr>
                <w:rFonts w:hint="eastAsia" w:ascii="仿宋_GB2312" w:eastAsia="仿宋_GB2312"/>
                <w:color w:val="auto"/>
                <w:sz w:val="24"/>
                <w:highlight w:val="none"/>
              </w:rPr>
              <w:t>分；最高得</w:t>
            </w:r>
            <w:r>
              <w:rPr>
                <w:rFonts w:hint="eastAsia" w:ascii="仿宋_GB2312" w:eastAsia="仿宋_GB2312"/>
                <w:color w:val="auto"/>
                <w:sz w:val="24"/>
                <w:highlight w:val="none"/>
                <w:lang w:val="en-US" w:eastAsia="zh-CN"/>
              </w:rPr>
              <w:t>4</w:t>
            </w:r>
            <w:r>
              <w:rPr>
                <w:rFonts w:hint="eastAsia" w:ascii="仿宋_GB2312" w:eastAsia="仿宋_GB2312"/>
                <w:color w:val="auto"/>
                <w:sz w:val="24"/>
                <w:highlight w:val="none"/>
              </w:rPr>
              <w:t>分（同一甲方单位的多个同类项目，按一个计算）。相关业绩需提供合同复印件作为有效证明材料。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1" w:hRule="atLeast"/>
        </w:trPr>
        <w:tc>
          <w:tcPr>
            <w:tcW w:w="1487" w:type="dxa"/>
            <w:noWrap w:val="0"/>
            <w:vAlign w:val="center"/>
          </w:tcPr>
          <w:p>
            <w:pPr>
              <w:snapToGrid w:val="0"/>
              <w:spacing w:line="360" w:lineRule="auto"/>
              <w:jc w:val="center"/>
              <w:rPr>
                <w:rFonts w:hint="eastAsia" w:ascii="仿宋_GB2312" w:eastAsia="仿宋_GB2312"/>
                <w:b/>
                <w:color w:val="auto"/>
                <w:sz w:val="24"/>
                <w:highlight w:val="none"/>
              </w:rPr>
            </w:pPr>
            <w:r>
              <w:rPr>
                <w:rFonts w:hint="eastAsia" w:ascii="仿宋_GB2312" w:eastAsia="仿宋_GB2312"/>
                <w:b/>
                <w:color w:val="auto"/>
                <w:sz w:val="24"/>
                <w:highlight w:val="none"/>
              </w:rPr>
              <w:t>总分</w:t>
            </w:r>
          </w:p>
        </w:tc>
        <w:tc>
          <w:tcPr>
            <w:tcW w:w="1065" w:type="dxa"/>
            <w:noWrap w:val="0"/>
            <w:vAlign w:val="center"/>
          </w:tcPr>
          <w:p>
            <w:pPr>
              <w:snapToGrid w:val="0"/>
              <w:spacing w:line="360" w:lineRule="auto"/>
              <w:jc w:val="center"/>
              <w:rPr>
                <w:rFonts w:hint="eastAsia" w:ascii="仿宋_GB2312" w:eastAsia="仿宋_GB2312"/>
                <w:b/>
                <w:color w:val="auto"/>
                <w:sz w:val="24"/>
                <w:highlight w:val="none"/>
              </w:rPr>
            </w:pPr>
            <w:r>
              <w:rPr>
                <w:rFonts w:hint="eastAsia" w:ascii="仿宋_GB2312" w:eastAsia="仿宋_GB2312"/>
                <w:b/>
                <w:color w:val="auto"/>
                <w:sz w:val="24"/>
                <w:highlight w:val="none"/>
              </w:rPr>
              <w:t>100分</w:t>
            </w:r>
          </w:p>
        </w:tc>
        <w:tc>
          <w:tcPr>
            <w:tcW w:w="6238" w:type="dxa"/>
            <w:noWrap w:val="0"/>
            <w:vAlign w:val="center"/>
          </w:tcPr>
          <w:p>
            <w:pPr>
              <w:snapToGrid w:val="0"/>
              <w:spacing w:line="360" w:lineRule="auto"/>
              <w:jc w:val="center"/>
              <w:rPr>
                <w:rFonts w:hint="eastAsia" w:ascii="仿宋_GB2312" w:eastAsia="仿宋_GB2312"/>
                <w:b/>
                <w:color w:val="auto"/>
                <w:sz w:val="24"/>
                <w:highlight w:val="none"/>
              </w:rPr>
            </w:pPr>
            <w:r>
              <w:rPr>
                <w:rFonts w:hint="eastAsia" w:ascii="仿宋_GB2312" w:eastAsia="仿宋_GB2312"/>
                <w:b/>
                <w:color w:val="auto"/>
                <w:sz w:val="24"/>
                <w:highlight w:val="none"/>
              </w:rPr>
              <w:t>低于</w:t>
            </w:r>
            <w:r>
              <w:rPr>
                <w:rFonts w:ascii="仿宋_GB2312" w:eastAsia="仿宋_GB2312"/>
                <w:b/>
                <w:color w:val="auto"/>
                <w:sz w:val="24"/>
                <w:highlight w:val="none"/>
              </w:rPr>
              <w:t>6</w:t>
            </w:r>
            <w:r>
              <w:rPr>
                <w:rFonts w:hint="eastAsia" w:ascii="仿宋_GB2312" w:eastAsia="仿宋_GB2312"/>
                <w:b/>
                <w:color w:val="auto"/>
                <w:sz w:val="24"/>
                <w:highlight w:val="none"/>
              </w:rPr>
              <w:t>0分不得成交</w:t>
            </w:r>
          </w:p>
        </w:tc>
      </w:tr>
    </w:tbl>
    <w:p>
      <w:pPr>
        <w:snapToGrid w:val="0"/>
        <w:spacing w:line="580" w:lineRule="exact"/>
        <w:rPr>
          <w:rFonts w:hint="eastAsia" w:ascii="仿宋_GB2312" w:hAnsi="仿宋_GB2312" w:eastAsia="仿宋_GB2312" w:cs="仿宋_GB2312"/>
          <w:color w:val="auto"/>
          <w:sz w:val="32"/>
          <w:szCs w:val="32"/>
          <w:highlight w:val="none"/>
        </w:rPr>
      </w:pPr>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rPr>
        <w:t>3</w:t>
      </w:r>
      <w:r>
        <w:rPr>
          <w:rFonts w:hint="eastAsia" w:ascii="仿宋_GB2312" w:hAnsi="仿宋_GB2312" w:eastAsia="仿宋_GB2312" w:cs="仿宋_GB2312"/>
          <w:color w:val="auto"/>
          <w:kern w:val="0"/>
          <w:sz w:val="32"/>
          <w:szCs w:val="32"/>
          <w:highlight w:val="none"/>
          <w:lang w:val="en-US" w:eastAsia="zh-CN"/>
        </w:rPr>
        <w:t>.</w:t>
      </w:r>
      <w:r>
        <w:rPr>
          <w:rFonts w:hint="eastAsia" w:ascii="仿宋_GB2312" w:hAnsi="仿宋_GB2312" w:eastAsia="仿宋_GB2312" w:cs="仿宋_GB2312"/>
          <w:color w:val="auto"/>
          <w:kern w:val="0"/>
          <w:sz w:val="32"/>
          <w:szCs w:val="32"/>
          <w:highlight w:val="none"/>
        </w:rPr>
        <w:t>计</w:t>
      </w:r>
      <w:r>
        <w:rPr>
          <w:rFonts w:hint="eastAsia" w:ascii="仿宋_GB2312" w:hAnsi="仿宋_GB2312" w:eastAsia="仿宋_GB2312" w:cs="仿宋_GB2312"/>
          <w:color w:val="auto"/>
          <w:sz w:val="32"/>
          <w:szCs w:val="32"/>
          <w:highlight w:val="none"/>
        </w:rPr>
        <w:t>算得分</w:t>
      </w:r>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评审小组成员打分计算响应人的评审得分，并汇总计算响应人的最终得分（最终得分为各评审小组成员评审得分的平均数），按响应人的最终得分由高至低排列名次，并将排名前两名的响应人推荐给采购人，采购人根据评审小组的成交候选人名单按规定确定成交人。</w:t>
      </w:r>
    </w:p>
    <w:p>
      <w:pPr>
        <w:snapToGrid w:val="0"/>
        <w:spacing w:line="580" w:lineRule="exact"/>
        <w:ind w:firstLine="640" w:firstLineChars="200"/>
        <w:rPr>
          <w:rFonts w:hint="eastAsia" w:ascii="黑体" w:hAnsi="黑体" w:eastAsia="黑体" w:cs="黑体"/>
          <w:color w:val="auto"/>
          <w:sz w:val="32"/>
          <w:szCs w:val="32"/>
          <w:highlight w:val="none"/>
        </w:rPr>
      </w:pPr>
      <w:r>
        <w:rPr>
          <w:rFonts w:hint="eastAsia" w:ascii="仿宋_GB2312" w:hAnsi="仿宋_GB2312" w:eastAsia="仿宋_GB2312" w:cs="仿宋_GB2312"/>
          <w:color w:val="auto"/>
          <w:sz w:val="32"/>
          <w:szCs w:val="32"/>
          <w:highlight w:val="none"/>
        </w:rPr>
        <w:t>详细评审按照《评审表》（详见附件2）进行。</w:t>
      </w:r>
      <w:bookmarkStart w:id="32" w:name="_Toc240688062"/>
      <w:bookmarkStart w:id="33" w:name="_Toc243448685"/>
      <w:bookmarkStart w:id="34" w:name="_Toc196907010"/>
    </w:p>
    <w:p>
      <w:pPr>
        <w:pStyle w:val="13"/>
        <w:snapToGrid w:val="0"/>
        <w:spacing w:line="580" w:lineRule="exact"/>
        <w:ind w:firstLine="640" w:firstLineChars="200"/>
        <w:jc w:val="both"/>
        <w:rPr>
          <w:rFonts w:hint="eastAsia" w:ascii="黑体" w:hAnsi="黑体" w:eastAsia="黑体" w:cs="黑体"/>
          <w:b w:val="0"/>
          <w:bCs w:val="0"/>
          <w:color w:val="auto"/>
          <w:sz w:val="32"/>
          <w:szCs w:val="32"/>
          <w:highlight w:val="none"/>
        </w:rPr>
      </w:pPr>
      <w:r>
        <w:rPr>
          <w:rFonts w:hint="eastAsia" w:ascii="黑体" w:hAnsi="黑体" w:eastAsia="黑体" w:cs="黑体"/>
          <w:b w:val="0"/>
          <w:bCs w:val="0"/>
          <w:color w:val="auto"/>
          <w:sz w:val="32"/>
          <w:szCs w:val="32"/>
          <w:highlight w:val="none"/>
        </w:rPr>
        <w:t>五、细微偏差的处理和澄清、补正</w:t>
      </w:r>
      <w:bookmarkEnd w:id="32"/>
      <w:bookmarkEnd w:id="33"/>
      <w:bookmarkEnd w:id="34"/>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rPr>
        <w:t>1</w:t>
      </w:r>
      <w:r>
        <w:rPr>
          <w:rFonts w:hint="eastAsia" w:ascii="仿宋_GB2312" w:hAnsi="仿宋_GB2312" w:eastAsia="仿宋_GB2312" w:cs="仿宋_GB2312"/>
          <w:color w:val="auto"/>
          <w:kern w:val="0"/>
          <w:sz w:val="32"/>
          <w:szCs w:val="32"/>
          <w:highlight w:val="none"/>
          <w:lang w:val="en-US" w:eastAsia="zh-CN"/>
        </w:rPr>
        <w:t>.</w:t>
      </w:r>
      <w:r>
        <w:rPr>
          <w:rFonts w:hint="eastAsia" w:ascii="仿宋_GB2312" w:hAnsi="仿宋_GB2312" w:eastAsia="仿宋_GB2312" w:cs="仿宋_GB2312"/>
          <w:color w:val="auto"/>
          <w:sz w:val="32"/>
          <w:szCs w:val="32"/>
          <w:highlight w:val="none"/>
        </w:rPr>
        <w:t>细微偏差是指响应文件在实质上响应采购文件要求，但在个别地方存在漏项或者提供了不完整的技术信息和数据等情况，并且补正这些遗漏或者不完整不会对其他响应人造成不公平的结果。细微偏差不影响响应文件的有效性。       </w:t>
      </w:r>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rPr>
        <w:t>2</w:t>
      </w:r>
      <w:r>
        <w:rPr>
          <w:rFonts w:hint="eastAsia" w:ascii="仿宋_GB2312" w:hAnsi="仿宋_GB2312" w:eastAsia="仿宋_GB2312" w:cs="仿宋_GB2312"/>
          <w:color w:val="auto"/>
          <w:kern w:val="0"/>
          <w:sz w:val="32"/>
          <w:szCs w:val="32"/>
          <w:highlight w:val="none"/>
          <w:lang w:val="en-US" w:eastAsia="zh-CN"/>
        </w:rPr>
        <w:t>.</w:t>
      </w:r>
      <w:r>
        <w:rPr>
          <w:rFonts w:hint="eastAsia" w:ascii="仿宋_GB2312" w:hAnsi="仿宋_GB2312" w:eastAsia="仿宋_GB2312" w:cs="仿宋_GB2312"/>
          <w:color w:val="auto"/>
          <w:sz w:val="32"/>
          <w:szCs w:val="32"/>
          <w:highlight w:val="none"/>
        </w:rPr>
        <w:t>评审小组应当现场通过电话要求存在细微偏差的人响应人在评标结束前作必要的澄清、说明或者纠正。</w:t>
      </w:r>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rPr>
        <w:t>3</w:t>
      </w:r>
      <w:r>
        <w:rPr>
          <w:rFonts w:hint="eastAsia" w:ascii="仿宋_GB2312" w:hAnsi="仿宋_GB2312" w:eastAsia="仿宋_GB2312" w:cs="仿宋_GB2312"/>
          <w:color w:val="auto"/>
          <w:kern w:val="0"/>
          <w:sz w:val="32"/>
          <w:szCs w:val="32"/>
          <w:highlight w:val="none"/>
          <w:lang w:val="en-US" w:eastAsia="zh-CN"/>
        </w:rPr>
        <w:t>.</w:t>
      </w:r>
      <w:r>
        <w:rPr>
          <w:rFonts w:hint="eastAsia" w:ascii="仿宋_GB2312" w:hAnsi="仿宋_GB2312" w:eastAsia="仿宋_GB2312" w:cs="仿宋_GB2312"/>
          <w:color w:val="auto"/>
          <w:sz w:val="32"/>
          <w:szCs w:val="32"/>
          <w:highlight w:val="none"/>
        </w:rPr>
        <w:t>澄清、说明或者补正应以书面方式进行并不得超出响应文件的范围或者改变响应文件的实质性内容。</w:t>
      </w:r>
      <w:r>
        <w:rPr>
          <w:rFonts w:hint="eastAsia" w:ascii="仿宋_GB2312" w:hAnsi="仿宋_GB2312" w:eastAsia="仿宋_GB2312" w:cs="仿宋_GB2312"/>
          <w:color w:val="auto"/>
          <w:kern w:val="0"/>
          <w:sz w:val="32"/>
          <w:szCs w:val="32"/>
          <w:highlight w:val="none"/>
        </w:rPr>
        <w:t>澄清和确认的问题经响应人盖章或授权代表签字，作为响应文件的组成部分。</w:t>
      </w:r>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rPr>
        <w:t>4</w:t>
      </w:r>
      <w:r>
        <w:rPr>
          <w:rFonts w:hint="eastAsia" w:ascii="仿宋_GB2312" w:hAnsi="仿宋_GB2312" w:eastAsia="仿宋_GB2312" w:cs="仿宋_GB2312"/>
          <w:color w:val="auto"/>
          <w:kern w:val="0"/>
          <w:sz w:val="32"/>
          <w:szCs w:val="32"/>
          <w:highlight w:val="none"/>
          <w:lang w:val="en-US" w:eastAsia="zh-CN"/>
        </w:rPr>
        <w:t>.</w:t>
      </w:r>
      <w:r>
        <w:rPr>
          <w:rFonts w:hint="eastAsia" w:ascii="仿宋_GB2312" w:hAnsi="仿宋_GB2312" w:eastAsia="仿宋_GB2312" w:cs="仿宋_GB2312"/>
          <w:color w:val="auto"/>
          <w:sz w:val="32"/>
          <w:szCs w:val="32"/>
          <w:highlight w:val="none"/>
        </w:rPr>
        <w:t>响应人拒不按照要求对响应文件进行澄清、说明或者补正的，评审小组可以否决其响应，其响应作废标处理。</w:t>
      </w:r>
    </w:p>
    <w:p>
      <w:pPr>
        <w:pStyle w:val="13"/>
        <w:snapToGrid w:val="0"/>
        <w:spacing w:line="580" w:lineRule="exact"/>
        <w:ind w:firstLine="640" w:firstLineChars="200"/>
        <w:jc w:val="both"/>
        <w:rPr>
          <w:rFonts w:hint="eastAsia" w:ascii="黑体" w:hAnsi="黑体" w:eastAsia="黑体" w:cs="黑体"/>
          <w:b w:val="0"/>
          <w:bCs w:val="0"/>
          <w:color w:val="auto"/>
          <w:sz w:val="32"/>
          <w:szCs w:val="32"/>
          <w:highlight w:val="none"/>
        </w:rPr>
      </w:pPr>
      <w:bookmarkStart w:id="35" w:name="_Toc240688063"/>
      <w:bookmarkStart w:id="36" w:name="_Toc243448686"/>
      <w:bookmarkStart w:id="37" w:name="_Toc196907011"/>
      <w:r>
        <w:rPr>
          <w:rFonts w:hint="eastAsia" w:ascii="黑体" w:hAnsi="黑体" w:eastAsia="黑体" w:cs="黑体"/>
          <w:b w:val="0"/>
          <w:bCs w:val="0"/>
          <w:color w:val="auto"/>
          <w:sz w:val="32"/>
          <w:szCs w:val="32"/>
          <w:highlight w:val="none"/>
        </w:rPr>
        <w:t>六、成交条件</w:t>
      </w:r>
      <w:bookmarkEnd w:id="35"/>
      <w:bookmarkEnd w:id="36"/>
      <w:bookmarkEnd w:id="37"/>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根据评审标准，候选人应当最大限度地满足详细评审中规定的各项评分标准的响应，</w:t>
      </w:r>
      <w:r>
        <w:rPr>
          <w:rFonts w:hint="eastAsia" w:ascii="仿宋_GB2312" w:hAnsi="仿宋_GB2312" w:eastAsia="仿宋_GB2312" w:cs="仿宋_GB2312"/>
          <w:b/>
          <w:color w:val="auto"/>
          <w:sz w:val="32"/>
          <w:szCs w:val="32"/>
          <w:highlight w:val="none"/>
        </w:rPr>
        <w:t>低于60分不得推荐为成交候选人。</w:t>
      </w:r>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采购人从评审小组推荐的成交候选人中确定排名</w:t>
      </w:r>
      <w:r>
        <w:rPr>
          <w:rFonts w:hint="eastAsia" w:ascii="仿宋_GB2312" w:hAnsi="仿宋_GB2312" w:eastAsia="仿宋_GB2312" w:cs="仿宋_GB2312"/>
          <w:b/>
          <w:color w:val="auto"/>
          <w:sz w:val="32"/>
          <w:szCs w:val="32"/>
          <w:highlight w:val="none"/>
        </w:rPr>
        <w:t>第一</w:t>
      </w:r>
      <w:r>
        <w:rPr>
          <w:rFonts w:hint="eastAsia" w:ascii="仿宋_GB2312" w:hAnsi="仿宋_GB2312" w:eastAsia="仿宋_GB2312" w:cs="仿宋_GB2312"/>
          <w:color w:val="auto"/>
          <w:sz w:val="32"/>
          <w:szCs w:val="32"/>
          <w:highlight w:val="none"/>
        </w:rPr>
        <w:t>的为成交人。</w:t>
      </w:r>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排名第一的成交候选人放弃成交、因不可抗力提出不能履行合同或者未履行其他义务的，采购人可以确定排名第二的成交候选人为成交人。排名第二的成交候选人因前述原因不能签订合同的，采购人重新进行采购。</w:t>
      </w:r>
    </w:p>
    <w:p>
      <w:pPr>
        <w:pStyle w:val="13"/>
        <w:snapToGrid w:val="0"/>
        <w:spacing w:line="580" w:lineRule="exact"/>
        <w:ind w:firstLine="640" w:firstLineChars="200"/>
        <w:jc w:val="both"/>
        <w:rPr>
          <w:rFonts w:hint="eastAsia" w:ascii="黑体" w:hAnsi="黑体" w:eastAsia="黑体" w:cs="黑体"/>
          <w:b w:val="0"/>
          <w:bCs w:val="0"/>
          <w:color w:val="auto"/>
          <w:sz w:val="32"/>
          <w:szCs w:val="32"/>
          <w:highlight w:val="none"/>
        </w:rPr>
      </w:pPr>
      <w:bookmarkStart w:id="38" w:name="_Toc240688064"/>
      <w:bookmarkStart w:id="39" w:name="_Toc196907012"/>
      <w:bookmarkStart w:id="40" w:name="_Toc243448687"/>
      <w:r>
        <w:rPr>
          <w:rFonts w:hint="eastAsia" w:ascii="黑体" w:hAnsi="黑体" w:eastAsia="黑体" w:cs="黑体"/>
          <w:b w:val="0"/>
          <w:bCs w:val="0"/>
          <w:color w:val="auto"/>
          <w:sz w:val="32"/>
          <w:szCs w:val="32"/>
          <w:highlight w:val="none"/>
        </w:rPr>
        <w:t>七、评审纪律</w:t>
      </w:r>
      <w:bookmarkEnd w:id="38"/>
      <w:bookmarkEnd w:id="39"/>
      <w:bookmarkEnd w:id="40"/>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1.评审小组成员应遵纪守法，客观、公正、廉洁地履行职责。</w:t>
      </w:r>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2.评审小组成员须遵循以下工作纪律：</w:t>
      </w:r>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1）保守秘密。不得透露评审过程中所知悉的采购人和响应人的商业秘密。不得向响应人方和其他第三人透露评审情况。</w:t>
      </w:r>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2）按时参加评审活动，按照法律法规和评审文件的要求对响应人进行评判，提供科学合理、公平公正的评审意见。</w:t>
      </w:r>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3）评审过程中，不得发表影响评审公正的倾向性、歧视性言论，不得征询响应人的倾向性意见，不得以任何明示或暗示的方式要求响应人以澄清、说明或补正为借口，表达与其响应文件原意不同的新意见，不得以评审文件没有规定的方法和标准作为评审的依据。</w:t>
      </w:r>
    </w:p>
    <w:p>
      <w:pPr>
        <w:snapToGrid w:val="0"/>
        <w:spacing w:line="360" w:lineRule="auto"/>
        <w:ind w:firstLine="300"/>
        <w:rPr>
          <w:color w:val="auto"/>
          <w:highlight w:val="none"/>
        </w:rPr>
      </w:pPr>
    </w:p>
    <w:p>
      <w:pPr>
        <w:snapToGrid w:val="0"/>
        <w:spacing w:line="58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附件：1.响应文件审查表</w:t>
      </w:r>
    </w:p>
    <w:p>
      <w:pPr>
        <w:snapToGrid w:val="0"/>
        <w:spacing w:line="580" w:lineRule="exact"/>
        <w:ind w:firstLine="1600" w:firstLineChars="5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2.评审表</w:t>
      </w:r>
    </w:p>
    <w:p>
      <w:pPr>
        <w:snapToGrid w:val="0"/>
        <w:spacing w:line="580" w:lineRule="exact"/>
        <w:ind w:firstLine="1600" w:firstLineChars="500"/>
        <w:rPr>
          <w:rFonts w:hint="eastAsia" w:ascii="楷体" w:eastAsia="黑体"/>
          <w:b/>
          <w:color w:val="auto"/>
          <w:highlight w:val="none"/>
        </w:rPr>
      </w:pPr>
      <w:r>
        <w:rPr>
          <w:rFonts w:hint="eastAsia" w:ascii="仿宋_GB2312" w:hAnsi="仿宋_GB2312" w:eastAsia="仿宋_GB2312" w:cs="仿宋_GB2312"/>
          <w:color w:val="auto"/>
          <w:sz w:val="32"/>
          <w:szCs w:val="32"/>
          <w:highlight w:val="none"/>
        </w:rPr>
        <w:t>3.详细评审结果汇总表</w:t>
      </w:r>
      <w:r>
        <w:rPr>
          <w:rFonts w:hint="eastAsia" w:ascii="仿宋_GB2312" w:hAnsi="仿宋_GB2312" w:eastAsia="仿宋_GB2312" w:cs="仿宋_GB2312"/>
          <w:color w:val="auto"/>
          <w:sz w:val="32"/>
          <w:szCs w:val="32"/>
          <w:highlight w:val="none"/>
        </w:rPr>
        <w:br w:type="page"/>
      </w:r>
      <w:r>
        <w:rPr>
          <w:rFonts w:hint="eastAsia" w:ascii="黑体" w:hAnsi="黑体" w:eastAsia="黑体" w:cs="黑体"/>
          <w:bCs/>
          <w:color w:val="auto"/>
          <w:sz w:val="32"/>
          <w:szCs w:val="32"/>
          <w:highlight w:val="none"/>
        </w:rPr>
        <w:t>附件1</w:t>
      </w:r>
    </w:p>
    <w:p>
      <w:pPr>
        <w:pStyle w:val="13"/>
        <w:snapToGrid w:val="0"/>
        <w:spacing w:line="360" w:lineRule="auto"/>
        <w:ind w:firstLine="300"/>
        <w:rPr>
          <w:color w:val="auto"/>
          <w:highlight w:val="none"/>
        </w:rPr>
      </w:pPr>
      <w:r>
        <w:rPr>
          <w:rFonts w:hint="eastAsia" w:ascii="方正小标宋简体" w:hAnsi="方正小标宋简体" w:eastAsia="方正小标宋简体" w:cs="方正小标宋简体"/>
          <w:b w:val="0"/>
          <w:bCs w:val="0"/>
          <w:color w:val="auto"/>
          <w:sz w:val="44"/>
          <w:szCs w:val="44"/>
          <w:highlight w:val="none"/>
        </w:rPr>
        <w:t>响应文件审查表</w:t>
      </w:r>
    </w:p>
    <w:p>
      <w:pPr>
        <w:snapToGrid w:val="0"/>
        <w:spacing w:line="460" w:lineRule="exac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响应人：</w:t>
      </w:r>
    </w:p>
    <w:tbl>
      <w:tblPr>
        <w:tblStyle w:val="14"/>
        <w:tblW w:w="8570"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3"/>
        <w:gridCol w:w="2525"/>
        <w:gridCol w:w="3420"/>
        <w:gridCol w:w="16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3" w:type="dxa"/>
            <w:noWrap w:val="0"/>
            <w:vAlign w:val="center"/>
          </w:tcPr>
          <w:p>
            <w:pPr>
              <w:snapToGrid w:val="0"/>
              <w:spacing w:line="460" w:lineRule="exact"/>
              <w:jc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序号</w:t>
            </w:r>
          </w:p>
        </w:tc>
        <w:tc>
          <w:tcPr>
            <w:tcW w:w="2525" w:type="dxa"/>
            <w:noWrap w:val="0"/>
            <w:vAlign w:val="center"/>
          </w:tcPr>
          <w:p>
            <w:pPr>
              <w:snapToGrid w:val="0"/>
              <w:spacing w:line="460" w:lineRule="exact"/>
              <w:jc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审查评审内容</w:t>
            </w:r>
          </w:p>
        </w:tc>
        <w:tc>
          <w:tcPr>
            <w:tcW w:w="3420" w:type="dxa"/>
            <w:noWrap w:val="0"/>
            <w:vAlign w:val="center"/>
          </w:tcPr>
          <w:p>
            <w:pPr>
              <w:snapToGrid w:val="0"/>
              <w:spacing w:line="460" w:lineRule="exact"/>
              <w:jc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合格条件</w:t>
            </w:r>
          </w:p>
        </w:tc>
        <w:tc>
          <w:tcPr>
            <w:tcW w:w="1622" w:type="dxa"/>
            <w:noWrap w:val="0"/>
            <w:vAlign w:val="center"/>
          </w:tcPr>
          <w:p>
            <w:pPr>
              <w:snapToGrid w:val="0"/>
              <w:spacing w:line="460" w:lineRule="exact"/>
              <w:jc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审查结论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6" w:hRule="atLeast"/>
        </w:trPr>
        <w:tc>
          <w:tcPr>
            <w:tcW w:w="1003" w:type="dxa"/>
            <w:noWrap w:val="0"/>
            <w:vAlign w:val="center"/>
          </w:tcPr>
          <w:p>
            <w:pPr>
              <w:snapToGrid w:val="0"/>
              <w:spacing w:line="460" w:lineRule="exact"/>
              <w:jc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1</w:t>
            </w:r>
          </w:p>
        </w:tc>
        <w:tc>
          <w:tcPr>
            <w:tcW w:w="2525" w:type="dxa"/>
            <w:noWrap w:val="0"/>
            <w:vAlign w:val="center"/>
          </w:tcPr>
          <w:p>
            <w:pPr>
              <w:snapToGrid w:val="0"/>
              <w:spacing w:line="460" w:lineRule="exac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响应文件盖章、签字情况</w:t>
            </w:r>
          </w:p>
        </w:tc>
        <w:tc>
          <w:tcPr>
            <w:tcW w:w="3420" w:type="dxa"/>
            <w:noWrap w:val="0"/>
            <w:vAlign w:val="center"/>
          </w:tcPr>
          <w:p>
            <w:pPr>
              <w:snapToGrid w:val="0"/>
              <w:spacing w:line="460" w:lineRule="exac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满足采购文件的要求：</w:t>
            </w:r>
          </w:p>
          <w:p>
            <w:pPr>
              <w:snapToGrid w:val="0"/>
              <w:spacing w:line="460" w:lineRule="exac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①密封；</w:t>
            </w:r>
          </w:p>
          <w:p>
            <w:pPr>
              <w:snapToGrid w:val="0"/>
              <w:spacing w:line="460" w:lineRule="exac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②响应文件封面或扉页、报价函、授权</w:t>
            </w:r>
            <w:r>
              <w:rPr>
                <w:rFonts w:hint="eastAsia" w:ascii="仿宋_GB2312" w:hAnsi="仿宋_GB2312" w:eastAsia="仿宋_GB2312" w:cs="仿宋_GB2312"/>
                <w:color w:val="auto"/>
                <w:sz w:val="28"/>
                <w:szCs w:val="28"/>
                <w:highlight w:val="none"/>
                <w:lang w:eastAsia="zh-CN"/>
              </w:rPr>
              <w:t>委托</w:t>
            </w:r>
            <w:r>
              <w:rPr>
                <w:rFonts w:hint="eastAsia" w:ascii="仿宋_GB2312" w:hAnsi="仿宋_GB2312" w:eastAsia="仿宋_GB2312" w:cs="仿宋_GB2312"/>
                <w:color w:val="auto"/>
                <w:sz w:val="28"/>
                <w:szCs w:val="28"/>
                <w:highlight w:val="none"/>
              </w:rPr>
              <w:t>书等加盖公章；</w:t>
            </w:r>
          </w:p>
          <w:p>
            <w:pPr>
              <w:snapToGrid w:val="0"/>
              <w:spacing w:line="460" w:lineRule="exac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③响应文件中报价函有法定代表人或授权人签</w:t>
            </w:r>
            <w:r>
              <w:rPr>
                <w:rFonts w:hint="eastAsia" w:ascii="仿宋_GB2312" w:hAnsi="仿宋_GB2312" w:eastAsia="仿宋_GB2312" w:cs="仿宋_GB2312"/>
                <w:color w:val="auto"/>
                <w:sz w:val="28"/>
                <w:szCs w:val="28"/>
                <w:highlight w:val="none"/>
                <w:lang w:eastAsia="zh-CN"/>
              </w:rPr>
              <w:t>章</w:t>
            </w:r>
            <w:r>
              <w:rPr>
                <w:rFonts w:hint="eastAsia" w:ascii="仿宋_GB2312" w:hAnsi="仿宋_GB2312" w:eastAsia="仿宋_GB2312" w:cs="仿宋_GB2312"/>
                <w:color w:val="auto"/>
                <w:sz w:val="28"/>
                <w:szCs w:val="28"/>
                <w:highlight w:val="none"/>
              </w:rPr>
              <w:t>。</w:t>
            </w:r>
          </w:p>
        </w:tc>
        <w:tc>
          <w:tcPr>
            <w:tcW w:w="1622" w:type="dxa"/>
            <w:noWrap w:val="0"/>
            <w:vAlign w:val="center"/>
          </w:tcPr>
          <w:p>
            <w:pPr>
              <w:snapToGrid w:val="0"/>
              <w:spacing w:line="460" w:lineRule="exac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73" w:hRule="atLeast"/>
        </w:trPr>
        <w:tc>
          <w:tcPr>
            <w:tcW w:w="1003" w:type="dxa"/>
            <w:noWrap w:val="0"/>
            <w:vAlign w:val="center"/>
          </w:tcPr>
          <w:p>
            <w:pPr>
              <w:snapToGrid w:val="0"/>
              <w:spacing w:line="460" w:lineRule="exact"/>
              <w:jc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w:t>
            </w:r>
          </w:p>
        </w:tc>
        <w:tc>
          <w:tcPr>
            <w:tcW w:w="2525" w:type="dxa"/>
            <w:noWrap w:val="0"/>
            <w:vAlign w:val="center"/>
          </w:tcPr>
          <w:p>
            <w:pPr>
              <w:snapToGrid w:val="0"/>
              <w:spacing w:line="460" w:lineRule="exac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响应报价</w:t>
            </w:r>
          </w:p>
        </w:tc>
        <w:tc>
          <w:tcPr>
            <w:tcW w:w="3420" w:type="dxa"/>
            <w:noWrap w:val="0"/>
            <w:vAlign w:val="center"/>
          </w:tcPr>
          <w:p>
            <w:pPr>
              <w:snapToGrid w:val="0"/>
              <w:spacing w:line="460" w:lineRule="exac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①报价唯一。唯一指响应文件的各文件关于认购总价应当一致；</w:t>
            </w:r>
          </w:p>
          <w:p>
            <w:pPr>
              <w:snapToGrid w:val="0"/>
              <w:spacing w:line="460" w:lineRule="exac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②不超过最高限价。</w:t>
            </w:r>
          </w:p>
        </w:tc>
        <w:tc>
          <w:tcPr>
            <w:tcW w:w="1622" w:type="dxa"/>
            <w:noWrap w:val="0"/>
            <w:vAlign w:val="center"/>
          </w:tcPr>
          <w:p>
            <w:pPr>
              <w:snapToGrid w:val="0"/>
              <w:spacing w:line="460" w:lineRule="exac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6" w:hRule="atLeast"/>
        </w:trPr>
        <w:tc>
          <w:tcPr>
            <w:tcW w:w="1003" w:type="dxa"/>
            <w:noWrap w:val="0"/>
            <w:vAlign w:val="center"/>
          </w:tcPr>
          <w:p>
            <w:pPr>
              <w:snapToGrid w:val="0"/>
              <w:spacing w:line="460" w:lineRule="exact"/>
              <w:jc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3</w:t>
            </w:r>
          </w:p>
        </w:tc>
        <w:tc>
          <w:tcPr>
            <w:tcW w:w="2525" w:type="dxa"/>
            <w:noWrap w:val="0"/>
            <w:vAlign w:val="center"/>
          </w:tcPr>
          <w:p>
            <w:pPr>
              <w:snapToGrid w:val="0"/>
              <w:spacing w:line="460" w:lineRule="exac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对响应文件的响应</w:t>
            </w:r>
          </w:p>
        </w:tc>
        <w:tc>
          <w:tcPr>
            <w:tcW w:w="3420" w:type="dxa"/>
            <w:noWrap w:val="0"/>
            <w:vAlign w:val="center"/>
          </w:tcPr>
          <w:p>
            <w:pPr>
              <w:snapToGrid w:val="0"/>
              <w:spacing w:line="460" w:lineRule="exac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资料齐全，包含参考格式要求的文件资料。</w:t>
            </w:r>
          </w:p>
        </w:tc>
        <w:tc>
          <w:tcPr>
            <w:tcW w:w="1622" w:type="dxa"/>
            <w:noWrap w:val="0"/>
            <w:vAlign w:val="center"/>
          </w:tcPr>
          <w:p>
            <w:pPr>
              <w:snapToGrid w:val="0"/>
              <w:spacing w:line="460" w:lineRule="exact"/>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trPr>
        <w:tc>
          <w:tcPr>
            <w:tcW w:w="3528" w:type="dxa"/>
            <w:gridSpan w:val="2"/>
            <w:noWrap w:val="0"/>
            <w:vAlign w:val="center"/>
          </w:tcPr>
          <w:p>
            <w:pPr>
              <w:snapToGrid w:val="0"/>
              <w:spacing w:line="460" w:lineRule="exact"/>
              <w:jc w:val="center"/>
              <w:rPr>
                <w:rFonts w:hint="eastAsia" w:ascii="仿宋_GB2312" w:hAnsi="仿宋_GB2312" w:eastAsia="仿宋_GB2312" w:cs="仿宋_GB2312"/>
                <w:b/>
                <w:color w:val="auto"/>
                <w:sz w:val="28"/>
                <w:szCs w:val="28"/>
                <w:highlight w:val="none"/>
              </w:rPr>
            </w:pPr>
            <w:r>
              <w:rPr>
                <w:rFonts w:hint="eastAsia" w:ascii="仿宋_GB2312" w:hAnsi="仿宋_GB2312" w:eastAsia="仿宋_GB2312" w:cs="仿宋_GB2312"/>
                <w:b/>
                <w:color w:val="auto"/>
                <w:sz w:val="28"/>
                <w:szCs w:val="28"/>
                <w:highlight w:val="none"/>
              </w:rPr>
              <w:t>结   论</w:t>
            </w:r>
          </w:p>
        </w:tc>
        <w:tc>
          <w:tcPr>
            <w:tcW w:w="3420" w:type="dxa"/>
            <w:noWrap w:val="0"/>
            <w:vAlign w:val="center"/>
          </w:tcPr>
          <w:p>
            <w:pPr>
              <w:snapToGrid w:val="0"/>
              <w:spacing w:line="460" w:lineRule="exact"/>
              <w:jc w:val="center"/>
              <w:rPr>
                <w:rFonts w:hint="eastAsia" w:ascii="仿宋_GB2312" w:hAnsi="仿宋_GB2312" w:eastAsia="仿宋_GB2312" w:cs="仿宋_GB2312"/>
                <w:b/>
                <w:color w:val="auto"/>
                <w:sz w:val="28"/>
                <w:szCs w:val="28"/>
                <w:highlight w:val="none"/>
              </w:rPr>
            </w:pPr>
            <w:r>
              <w:rPr>
                <w:rFonts w:hint="eastAsia" w:ascii="仿宋_GB2312" w:hAnsi="仿宋_GB2312" w:eastAsia="仿宋_GB2312" w:cs="仿宋_GB2312"/>
                <w:b/>
                <w:color w:val="auto"/>
                <w:sz w:val="28"/>
                <w:szCs w:val="28"/>
                <w:highlight w:val="none"/>
              </w:rPr>
              <w:t>是否符合要求</w:t>
            </w:r>
          </w:p>
        </w:tc>
        <w:tc>
          <w:tcPr>
            <w:tcW w:w="1622" w:type="dxa"/>
            <w:noWrap w:val="0"/>
            <w:vAlign w:val="center"/>
          </w:tcPr>
          <w:p>
            <w:pPr>
              <w:snapToGrid w:val="0"/>
              <w:spacing w:line="460" w:lineRule="exact"/>
              <w:rPr>
                <w:rFonts w:hint="eastAsia" w:ascii="仿宋_GB2312" w:hAnsi="仿宋_GB2312" w:eastAsia="仿宋_GB2312" w:cs="仿宋_GB2312"/>
                <w:b/>
                <w:color w:val="auto"/>
                <w:sz w:val="28"/>
                <w:szCs w:val="28"/>
                <w:highlight w:val="none"/>
              </w:rPr>
            </w:pPr>
            <w:r>
              <w:rPr>
                <w:rFonts w:hint="eastAsia" w:ascii="仿宋_GB2312" w:hAnsi="仿宋_GB2312" w:eastAsia="仿宋_GB2312" w:cs="仿宋_GB2312"/>
                <w:b/>
                <w:color w:val="auto"/>
                <w:sz w:val="28"/>
                <w:szCs w:val="28"/>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7" w:hRule="atLeast"/>
        </w:trPr>
        <w:tc>
          <w:tcPr>
            <w:tcW w:w="8570" w:type="dxa"/>
            <w:gridSpan w:val="4"/>
            <w:noWrap w:val="0"/>
            <w:vAlign w:val="center"/>
          </w:tcPr>
          <w:p>
            <w:pPr>
              <w:snapToGrid w:val="0"/>
              <w:spacing w:line="460" w:lineRule="exact"/>
              <w:jc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备注：1、经审查符合要求的，在（ ）中打“√”，否则打“×”。</w:t>
            </w:r>
          </w:p>
          <w:p>
            <w:pPr>
              <w:snapToGrid w:val="0"/>
              <w:spacing w:line="460" w:lineRule="exact"/>
              <w:jc w:val="center"/>
              <w:rPr>
                <w:rFonts w:hint="eastAsia" w:ascii="仿宋_GB2312" w:hAnsi="仿宋_GB2312" w:eastAsia="仿宋_GB2312" w:cs="仿宋_GB2312"/>
                <w:color w:val="auto"/>
                <w:sz w:val="28"/>
                <w:szCs w:val="28"/>
                <w:highlight w:val="none"/>
              </w:rPr>
            </w:pPr>
            <w:r>
              <w:rPr>
                <w:rFonts w:hint="eastAsia" w:ascii="仿宋_GB2312" w:hAnsi="仿宋_GB2312" w:eastAsia="仿宋_GB2312" w:cs="仿宋_GB2312"/>
                <w:color w:val="auto"/>
                <w:sz w:val="28"/>
                <w:szCs w:val="28"/>
                <w:highlight w:val="none"/>
              </w:rPr>
              <w:t>2、审查结论符合要求的</w:t>
            </w:r>
            <w:r>
              <w:rPr>
                <w:rFonts w:hint="eastAsia" w:ascii="仿宋_GB2312" w:hAnsi="仿宋_GB2312" w:eastAsia="仿宋_GB2312" w:cs="仿宋_GB2312"/>
                <w:color w:val="auto"/>
                <w:sz w:val="28"/>
                <w:szCs w:val="28"/>
                <w:highlight w:val="none"/>
                <w:lang w:eastAsia="zh-CN"/>
              </w:rPr>
              <w:t>响应人</w:t>
            </w:r>
            <w:r>
              <w:rPr>
                <w:rFonts w:hint="eastAsia" w:ascii="仿宋_GB2312" w:hAnsi="仿宋_GB2312" w:eastAsia="仿宋_GB2312" w:cs="仿宋_GB2312"/>
                <w:color w:val="auto"/>
                <w:sz w:val="28"/>
                <w:szCs w:val="28"/>
                <w:highlight w:val="none"/>
              </w:rPr>
              <w:t>进入下一评审阶段。</w:t>
            </w:r>
          </w:p>
        </w:tc>
      </w:tr>
    </w:tbl>
    <w:p>
      <w:pPr>
        <w:snapToGrid w:val="0"/>
        <w:spacing w:line="460" w:lineRule="exact"/>
        <w:rPr>
          <w:rFonts w:hint="eastAsia" w:ascii="仿宋_GB2312" w:hAnsi="仿宋_GB2312" w:eastAsia="仿宋_GB2312" w:cs="仿宋_GB2312"/>
          <w:b/>
          <w:color w:val="auto"/>
          <w:sz w:val="28"/>
          <w:szCs w:val="28"/>
          <w:highlight w:val="none"/>
        </w:rPr>
      </w:pPr>
    </w:p>
    <w:p>
      <w:pPr>
        <w:snapToGrid w:val="0"/>
        <w:spacing w:line="460" w:lineRule="exact"/>
        <w:rPr>
          <w:rFonts w:eastAsia="仿宋_GB2312"/>
          <w:b/>
          <w:color w:val="auto"/>
          <w:highlight w:val="none"/>
        </w:rPr>
      </w:pPr>
      <w:r>
        <w:rPr>
          <w:rFonts w:hint="eastAsia" w:ascii="仿宋_GB2312" w:hAnsi="仿宋_GB2312" w:eastAsia="仿宋_GB2312" w:cs="仿宋_GB2312"/>
          <w:b/>
          <w:color w:val="auto"/>
          <w:sz w:val="28"/>
          <w:szCs w:val="28"/>
          <w:highlight w:val="none"/>
        </w:rPr>
        <w:t>评审小组成员签名：</w:t>
      </w:r>
      <w:r>
        <w:rPr>
          <w:rFonts w:hint="eastAsia" w:ascii="仿宋_GB2312" w:hAnsi="仿宋_GB2312" w:eastAsia="仿宋_GB2312" w:cs="仿宋_GB2312"/>
          <w:b/>
          <w:color w:val="auto"/>
          <w:sz w:val="28"/>
          <w:szCs w:val="28"/>
          <w:highlight w:val="none"/>
        </w:rPr>
        <w:br w:type="page"/>
      </w:r>
      <w:r>
        <w:rPr>
          <w:rFonts w:hint="eastAsia" w:ascii="黑体" w:hAnsi="黑体" w:eastAsia="黑体" w:cs="黑体"/>
          <w:bCs/>
          <w:color w:val="auto"/>
          <w:sz w:val="32"/>
          <w:szCs w:val="32"/>
          <w:highlight w:val="none"/>
        </w:rPr>
        <w:t>附件2</w:t>
      </w:r>
    </w:p>
    <w:p>
      <w:pPr>
        <w:snapToGrid w:val="0"/>
        <w:spacing w:line="360" w:lineRule="auto"/>
        <w:jc w:val="center"/>
        <w:rPr>
          <w:rFonts w:hint="eastAsia" w:ascii="方正小标宋简体" w:hAnsi="方正小标宋简体" w:eastAsia="方正小标宋简体" w:cs="方正小标宋简体"/>
          <w:bCs/>
          <w:color w:val="auto"/>
          <w:sz w:val="44"/>
          <w:szCs w:val="44"/>
          <w:highlight w:val="none"/>
        </w:rPr>
      </w:pPr>
      <w:r>
        <w:rPr>
          <w:rFonts w:hint="eastAsia" w:ascii="方正小标宋简体" w:hAnsi="方正小标宋简体" w:eastAsia="方正小标宋简体" w:cs="方正小标宋简体"/>
          <w:bCs/>
          <w:color w:val="auto"/>
          <w:sz w:val="44"/>
          <w:szCs w:val="44"/>
          <w:highlight w:val="none"/>
        </w:rPr>
        <w:t>评审表</w:t>
      </w:r>
    </w:p>
    <w:tbl>
      <w:tblPr>
        <w:tblStyle w:val="14"/>
        <w:tblW w:w="9687" w:type="dxa"/>
        <w:tblInd w:w="-17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70"/>
        <w:gridCol w:w="1015"/>
        <w:gridCol w:w="6237"/>
        <w:gridCol w:w="709"/>
        <w:gridCol w:w="7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4" w:hRule="atLeast"/>
        </w:trPr>
        <w:tc>
          <w:tcPr>
            <w:tcW w:w="970" w:type="dxa"/>
            <w:noWrap w:val="0"/>
            <w:vAlign w:val="center"/>
          </w:tcPr>
          <w:p>
            <w:pPr>
              <w:snapToGrid w:val="0"/>
              <w:spacing w:line="360" w:lineRule="auto"/>
              <w:jc w:val="center"/>
              <w:rPr>
                <w:rFonts w:hint="eastAsia" w:ascii="仿宋_GB2312" w:eastAsia="仿宋_GB2312"/>
                <w:b/>
                <w:color w:val="auto"/>
                <w:sz w:val="24"/>
                <w:highlight w:val="none"/>
              </w:rPr>
            </w:pPr>
            <w:r>
              <w:rPr>
                <w:rFonts w:hint="eastAsia" w:ascii="仿宋_GB2312" w:eastAsia="仿宋_GB2312"/>
                <w:b/>
                <w:color w:val="auto"/>
                <w:sz w:val="24"/>
                <w:highlight w:val="none"/>
              </w:rPr>
              <w:t>评审内容</w:t>
            </w:r>
          </w:p>
        </w:tc>
        <w:tc>
          <w:tcPr>
            <w:tcW w:w="1015" w:type="dxa"/>
            <w:noWrap w:val="0"/>
            <w:vAlign w:val="center"/>
          </w:tcPr>
          <w:p>
            <w:pPr>
              <w:snapToGrid w:val="0"/>
              <w:spacing w:line="360" w:lineRule="auto"/>
              <w:jc w:val="center"/>
              <w:rPr>
                <w:rFonts w:hint="eastAsia" w:ascii="仿宋_GB2312" w:eastAsia="仿宋_GB2312"/>
                <w:b/>
                <w:color w:val="auto"/>
                <w:sz w:val="24"/>
                <w:highlight w:val="none"/>
              </w:rPr>
            </w:pPr>
            <w:r>
              <w:rPr>
                <w:rFonts w:hint="eastAsia" w:ascii="仿宋_GB2312" w:eastAsia="仿宋_GB2312"/>
                <w:b/>
                <w:color w:val="auto"/>
                <w:sz w:val="24"/>
                <w:highlight w:val="none"/>
              </w:rPr>
              <w:t>权重分</w:t>
            </w:r>
          </w:p>
        </w:tc>
        <w:tc>
          <w:tcPr>
            <w:tcW w:w="6237" w:type="dxa"/>
            <w:noWrap w:val="0"/>
            <w:vAlign w:val="center"/>
          </w:tcPr>
          <w:p>
            <w:pPr>
              <w:snapToGrid w:val="0"/>
              <w:spacing w:line="360" w:lineRule="auto"/>
              <w:jc w:val="center"/>
              <w:rPr>
                <w:rFonts w:hint="eastAsia" w:ascii="仿宋_GB2312" w:eastAsia="仿宋_GB2312"/>
                <w:b/>
                <w:color w:val="auto"/>
                <w:sz w:val="24"/>
                <w:highlight w:val="none"/>
              </w:rPr>
            </w:pPr>
            <w:r>
              <w:rPr>
                <w:rFonts w:hint="eastAsia" w:ascii="仿宋_GB2312" w:eastAsia="仿宋_GB2312"/>
                <w:b/>
                <w:color w:val="auto"/>
                <w:sz w:val="24"/>
                <w:highlight w:val="none"/>
              </w:rPr>
              <w:t>评分标准</w:t>
            </w:r>
          </w:p>
        </w:tc>
        <w:tc>
          <w:tcPr>
            <w:tcW w:w="709" w:type="dxa"/>
            <w:noWrap w:val="0"/>
            <w:vAlign w:val="center"/>
          </w:tcPr>
          <w:p>
            <w:pPr>
              <w:snapToGrid w:val="0"/>
              <w:spacing w:line="360" w:lineRule="auto"/>
              <w:jc w:val="center"/>
              <w:rPr>
                <w:rFonts w:hint="eastAsia" w:ascii="仿宋_GB2312" w:eastAsia="仿宋_GB2312"/>
                <w:b/>
                <w:color w:val="auto"/>
                <w:sz w:val="24"/>
                <w:highlight w:val="none"/>
              </w:rPr>
            </w:pPr>
            <w:r>
              <w:rPr>
                <w:rFonts w:hint="eastAsia" w:ascii="仿宋_GB2312" w:eastAsia="仿宋_GB2312"/>
                <w:b/>
                <w:color w:val="auto"/>
                <w:sz w:val="24"/>
                <w:highlight w:val="none"/>
              </w:rPr>
              <w:t>得分</w:t>
            </w:r>
          </w:p>
        </w:tc>
        <w:tc>
          <w:tcPr>
            <w:tcW w:w="756" w:type="dxa"/>
            <w:noWrap w:val="0"/>
            <w:vAlign w:val="center"/>
          </w:tcPr>
          <w:p>
            <w:pPr>
              <w:snapToGrid w:val="0"/>
              <w:spacing w:line="360" w:lineRule="auto"/>
              <w:jc w:val="center"/>
              <w:rPr>
                <w:rFonts w:hint="eastAsia" w:ascii="仿宋_GB2312" w:eastAsia="仿宋_GB2312"/>
                <w:b/>
                <w:color w:val="auto"/>
                <w:sz w:val="24"/>
                <w:highlight w:val="none"/>
              </w:rPr>
            </w:pPr>
            <w:r>
              <w:rPr>
                <w:rFonts w:hint="eastAsia" w:ascii="仿宋_GB2312" w:eastAsia="仿宋_GB2312"/>
                <w:b/>
                <w:color w:val="auto"/>
                <w:sz w:val="24"/>
                <w:highlight w:val="none"/>
              </w:rPr>
              <w:t>得分小计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9" w:hRule="atLeast"/>
        </w:trPr>
        <w:tc>
          <w:tcPr>
            <w:tcW w:w="970" w:type="dxa"/>
            <w:noWrap w:val="0"/>
            <w:vAlign w:val="center"/>
          </w:tcPr>
          <w:p>
            <w:pPr>
              <w:snapToGrid w:val="0"/>
              <w:spacing w:line="360" w:lineRule="auto"/>
              <w:jc w:val="center"/>
              <w:rPr>
                <w:rFonts w:hint="eastAsia" w:ascii="仿宋_GB2312" w:eastAsia="仿宋_GB2312"/>
                <w:color w:val="auto"/>
                <w:sz w:val="24"/>
                <w:highlight w:val="none"/>
              </w:rPr>
            </w:pPr>
            <w:r>
              <w:rPr>
                <w:rFonts w:hint="eastAsia" w:ascii="仿宋_GB2312" w:eastAsia="仿宋_GB2312"/>
                <w:color w:val="auto"/>
                <w:sz w:val="24"/>
                <w:highlight w:val="none"/>
              </w:rPr>
              <w:t>基础服务响应报价</w:t>
            </w:r>
          </w:p>
        </w:tc>
        <w:tc>
          <w:tcPr>
            <w:tcW w:w="1015" w:type="dxa"/>
            <w:noWrap w:val="0"/>
            <w:vAlign w:val="center"/>
          </w:tcPr>
          <w:p>
            <w:pPr>
              <w:snapToGrid w:val="0"/>
              <w:spacing w:line="360" w:lineRule="auto"/>
              <w:jc w:val="center"/>
              <w:rPr>
                <w:rFonts w:hint="eastAsia" w:ascii="仿宋_GB2312" w:eastAsia="仿宋_GB2312"/>
                <w:color w:val="auto"/>
                <w:sz w:val="24"/>
                <w:highlight w:val="none"/>
              </w:rPr>
            </w:pPr>
            <w:r>
              <w:rPr>
                <w:rFonts w:hint="eastAsia" w:ascii="仿宋_GB2312" w:eastAsia="仿宋_GB2312"/>
                <w:color w:val="auto"/>
                <w:sz w:val="24"/>
                <w:highlight w:val="none"/>
                <w:lang w:val="en-US" w:eastAsia="zh-CN"/>
              </w:rPr>
              <w:t>30</w:t>
            </w:r>
            <w:r>
              <w:rPr>
                <w:rFonts w:hint="eastAsia" w:ascii="仿宋_GB2312" w:eastAsia="仿宋_GB2312"/>
                <w:color w:val="auto"/>
                <w:sz w:val="24"/>
                <w:highlight w:val="none"/>
              </w:rPr>
              <w:t>分</w:t>
            </w:r>
          </w:p>
        </w:tc>
        <w:tc>
          <w:tcPr>
            <w:tcW w:w="6237" w:type="dxa"/>
            <w:noWrap w:val="0"/>
            <w:vAlign w:val="top"/>
          </w:tcPr>
          <w:p>
            <w:pPr>
              <w:snapToGrid w:val="0"/>
              <w:spacing w:line="360" w:lineRule="auto"/>
              <w:rPr>
                <w:b/>
                <w:color w:val="auto"/>
                <w:sz w:val="24"/>
                <w:highlight w:val="none"/>
              </w:rPr>
            </w:pPr>
            <w:r>
              <w:rPr>
                <w:rFonts w:hint="eastAsia" w:ascii="仿宋_GB2312" w:eastAsia="仿宋_GB2312"/>
                <w:b/>
                <w:color w:val="auto"/>
                <w:sz w:val="24"/>
                <w:highlight w:val="none"/>
              </w:rPr>
              <w:t xml:space="preserve">    以全部有效响应人的报价算术平均值为基数计2</w:t>
            </w:r>
            <w:r>
              <w:rPr>
                <w:rFonts w:ascii="仿宋_GB2312" w:eastAsia="仿宋_GB2312"/>
                <w:b/>
                <w:color w:val="auto"/>
                <w:sz w:val="24"/>
                <w:highlight w:val="none"/>
              </w:rPr>
              <w:t>0</w:t>
            </w:r>
            <w:r>
              <w:rPr>
                <w:rFonts w:hint="eastAsia" w:ascii="仿宋_GB2312" w:eastAsia="仿宋_GB2312"/>
                <w:b/>
                <w:color w:val="auto"/>
                <w:sz w:val="24"/>
                <w:highlight w:val="none"/>
              </w:rPr>
              <w:t>分，报价高于或低于该平均值部分，每高1%扣0.5分，每低1%加0.5分，最高不超过30分。</w:t>
            </w:r>
          </w:p>
        </w:tc>
        <w:tc>
          <w:tcPr>
            <w:tcW w:w="709" w:type="dxa"/>
            <w:noWrap w:val="0"/>
            <w:vAlign w:val="top"/>
          </w:tcPr>
          <w:p>
            <w:pPr>
              <w:snapToGrid w:val="0"/>
              <w:spacing w:line="360" w:lineRule="auto"/>
              <w:rPr>
                <w:rFonts w:hint="eastAsia" w:ascii="仿宋_GB2312" w:eastAsia="仿宋_GB2312"/>
                <w:b/>
                <w:color w:val="auto"/>
                <w:sz w:val="24"/>
                <w:highlight w:val="none"/>
              </w:rPr>
            </w:pPr>
          </w:p>
        </w:tc>
        <w:tc>
          <w:tcPr>
            <w:tcW w:w="756" w:type="dxa"/>
            <w:noWrap w:val="0"/>
            <w:vAlign w:val="top"/>
          </w:tcPr>
          <w:p>
            <w:pPr>
              <w:snapToGrid w:val="0"/>
              <w:spacing w:line="360" w:lineRule="auto"/>
              <w:rPr>
                <w:rFonts w:hint="eastAsia" w:ascii="仿宋_GB2312" w:eastAsia="仿宋_GB2312"/>
                <w:b/>
                <w:color w:val="auto"/>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9" w:hRule="atLeast"/>
        </w:trPr>
        <w:tc>
          <w:tcPr>
            <w:tcW w:w="970" w:type="dxa"/>
            <w:noWrap w:val="0"/>
            <w:vAlign w:val="center"/>
          </w:tcPr>
          <w:p>
            <w:pPr>
              <w:snapToGrid w:val="0"/>
              <w:spacing w:line="360" w:lineRule="auto"/>
              <w:jc w:val="center"/>
              <w:rPr>
                <w:rFonts w:hint="eastAsia" w:ascii="仿宋_GB2312" w:eastAsia="仿宋_GB2312"/>
                <w:color w:val="auto"/>
                <w:sz w:val="24"/>
                <w:highlight w:val="none"/>
              </w:rPr>
            </w:pPr>
            <w:r>
              <w:rPr>
                <w:rFonts w:hint="eastAsia" w:ascii="仿宋_GB2312" w:eastAsia="仿宋_GB2312"/>
                <w:color w:val="auto"/>
                <w:sz w:val="24"/>
                <w:highlight w:val="none"/>
              </w:rPr>
              <w:t>服务方案响应程度</w:t>
            </w:r>
          </w:p>
          <w:p>
            <w:pPr>
              <w:snapToGrid w:val="0"/>
              <w:spacing w:line="360" w:lineRule="auto"/>
              <w:jc w:val="center"/>
              <w:rPr>
                <w:rFonts w:hint="eastAsia" w:ascii="仿宋_GB2312" w:eastAsia="仿宋_GB2312"/>
                <w:color w:val="auto"/>
                <w:sz w:val="24"/>
                <w:highlight w:val="none"/>
              </w:rPr>
            </w:pPr>
          </w:p>
        </w:tc>
        <w:tc>
          <w:tcPr>
            <w:tcW w:w="1015" w:type="dxa"/>
            <w:noWrap w:val="0"/>
            <w:vAlign w:val="center"/>
          </w:tcPr>
          <w:p>
            <w:pPr>
              <w:snapToGrid w:val="0"/>
              <w:spacing w:line="360" w:lineRule="auto"/>
              <w:jc w:val="center"/>
              <w:rPr>
                <w:rFonts w:ascii="仿宋_GB2312" w:eastAsia="仿宋_GB2312"/>
                <w:color w:val="auto"/>
                <w:sz w:val="24"/>
                <w:highlight w:val="none"/>
              </w:rPr>
            </w:pPr>
            <w:r>
              <w:rPr>
                <w:rFonts w:hint="eastAsia" w:ascii="仿宋_GB2312" w:eastAsia="仿宋_GB2312"/>
                <w:color w:val="auto"/>
                <w:sz w:val="24"/>
                <w:highlight w:val="none"/>
                <w:lang w:val="en-US" w:eastAsia="zh-CN"/>
              </w:rPr>
              <w:t>5</w:t>
            </w:r>
            <w:r>
              <w:rPr>
                <w:rFonts w:ascii="仿宋_GB2312" w:eastAsia="仿宋_GB2312"/>
                <w:color w:val="auto"/>
                <w:sz w:val="24"/>
                <w:highlight w:val="none"/>
              </w:rPr>
              <w:t>0</w:t>
            </w:r>
            <w:r>
              <w:rPr>
                <w:rFonts w:hint="eastAsia" w:ascii="仿宋_GB2312" w:eastAsia="仿宋_GB2312"/>
                <w:color w:val="auto"/>
                <w:sz w:val="24"/>
                <w:highlight w:val="none"/>
              </w:rPr>
              <w:t>分</w:t>
            </w:r>
          </w:p>
        </w:tc>
        <w:tc>
          <w:tcPr>
            <w:tcW w:w="6237" w:type="dxa"/>
            <w:noWrap w:val="0"/>
            <w:vAlign w:val="top"/>
          </w:tcPr>
          <w:p>
            <w:pPr>
              <w:snapToGrid w:val="0"/>
              <w:spacing w:line="360" w:lineRule="auto"/>
              <w:ind w:firstLine="482" w:firstLineChars="200"/>
              <w:rPr>
                <w:rFonts w:hint="eastAsia" w:ascii="仿宋_GB2312" w:eastAsia="仿宋_GB2312"/>
                <w:color w:val="auto"/>
                <w:sz w:val="24"/>
                <w:highlight w:val="none"/>
              </w:rPr>
            </w:pPr>
            <w:r>
              <w:rPr>
                <w:rFonts w:hint="eastAsia" w:ascii="仿宋_GB2312" w:eastAsia="仿宋_GB2312"/>
                <w:b/>
                <w:color w:val="auto"/>
                <w:sz w:val="24"/>
                <w:highlight w:val="none"/>
              </w:rPr>
              <w:t>1、</w:t>
            </w:r>
            <w:r>
              <w:rPr>
                <w:rFonts w:hint="eastAsia" w:ascii="仿宋_GB2312" w:eastAsia="仿宋_GB2312"/>
                <w:b/>
                <w:bCs/>
                <w:color w:val="auto"/>
                <w:sz w:val="24"/>
                <w:highlight w:val="none"/>
              </w:rPr>
              <w:t>对项目的理解与解读</w:t>
            </w:r>
            <w:r>
              <w:rPr>
                <w:rFonts w:hint="eastAsia" w:ascii="仿宋_GB2312" w:eastAsia="仿宋_GB2312"/>
                <w:b/>
                <w:color w:val="auto"/>
                <w:sz w:val="24"/>
                <w:highlight w:val="none"/>
              </w:rPr>
              <w:t>（10分）</w:t>
            </w:r>
            <w:r>
              <w:rPr>
                <w:rFonts w:hint="eastAsia" w:ascii="仿宋_GB2312" w:eastAsia="仿宋_GB2312"/>
                <w:b/>
                <w:bCs/>
                <w:color w:val="auto"/>
                <w:sz w:val="24"/>
                <w:highlight w:val="none"/>
              </w:rPr>
              <w:t>。</w:t>
            </w:r>
            <w:r>
              <w:rPr>
                <w:rFonts w:hint="eastAsia" w:ascii="仿宋_GB2312" w:eastAsia="仿宋_GB2312"/>
                <w:color w:val="auto"/>
                <w:sz w:val="24"/>
                <w:highlight w:val="none"/>
              </w:rPr>
              <w:t>根据方案思路清晰程度、完整性、合理性、熟悉程度进行比较，考察响应人是否具有中国《企业内部控制基本规范》的监管要求下实施内部控制项目工作的技能与经验，是否熟悉风险、内控、合规体系，是否对三合一项目有足够的理解和经验，是否熟悉本项目的工作特点、要求和技术流程。</w:t>
            </w:r>
          </w:p>
          <w:p>
            <w:pPr>
              <w:snapToGrid w:val="0"/>
              <w:spacing w:line="360" w:lineRule="auto"/>
              <w:ind w:firstLine="480" w:firstLineChars="200"/>
              <w:rPr>
                <w:rFonts w:hint="eastAsia" w:ascii="仿宋_GB2312" w:eastAsia="仿宋_GB2312"/>
                <w:color w:val="auto"/>
                <w:sz w:val="24"/>
                <w:highlight w:val="none"/>
              </w:rPr>
            </w:pPr>
            <w:r>
              <w:rPr>
                <w:rFonts w:hint="eastAsia" w:ascii="仿宋_GB2312" w:eastAsia="仿宋_GB2312"/>
                <w:color w:val="auto"/>
                <w:sz w:val="24"/>
                <w:highlight w:val="none"/>
              </w:rPr>
              <w:t>A.对项目理解准确，思路清晰，同时具有中国《企业内部控制基本规范》的监管要求下实施内部控制项目工作的技能与经验，熟悉风控、内控、合规体系，对三合一体系建设项目有足够的理解和经验，完全符合本项目的目标，得8-10分；</w:t>
            </w:r>
          </w:p>
          <w:p>
            <w:pPr>
              <w:snapToGrid w:val="0"/>
              <w:spacing w:line="360" w:lineRule="auto"/>
              <w:ind w:firstLine="480" w:firstLineChars="200"/>
              <w:rPr>
                <w:rFonts w:hint="eastAsia" w:ascii="仿宋_GB2312" w:eastAsia="仿宋_GB2312"/>
                <w:color w:val="auto"/>
                <w:sz w:val="24"/>
                <w:highlight w:val="none"/>
              </w:rPr>
            </w:pPr>
            <w:r>
              <w:rPr>
                <w:rFonts w:hint="eastAsia" w:ascii="仿宋_GB2312" w:eastAsia="仿宋_GB2312"/>
                <w:color w:val="auto"/>
                <w:sz w:val="24"/>
                <w:highlight w:val="none"/>
              </w:rPr>
              <w:t>B. 基本理解本项目，同时具有中国《企业内部控制基本规范》的监管要求下实施内部控制项目工作的技能与经验，基本熟悉风险、内控、合规体系，对三合一体系建设项目有足够的理解和项目经验，基本能符合本项目的目标，得5-7分；</w:t>
            </w:r>
          </w:p>
          <w:p>
            <w:pPr>
              <w:snapToGrid w:val="0"/>
              <w:spacing w:line="360" w:lineRule="auto"/>
              <w:ind w:firstLine="480" w:firstLineChars="200"/>
              <w:rPr>
                <w:rFonts w:ascii="仿宋_GB2312" w:eastAsia="仿宋_GB2312"/>
                <w:b/>
                <w:bCs/>
                <w:color w:val="auto"/>
                <w:sz w:val="24"/>
                <w:highlight w:val="none"/>
              </w:rPr>
            </w:pPr>
            <w:r>
              <w:rPr>
                <w:rFonts w:hint="eastAsia" w:ascii="仿宋_GB2312" w:eastAsia="仿宋_GB2312"/>
                <w:color w:val="auto"/>
                <w:sz w:val="24"/>
                <w:highlight w:val="none"/>
              </w:rPr>
              <w:t>C.大致理解本项目目标，提供简单的方案，方案内容部分符合本项目的目标，得1-4分。</w:t>
            </w:r>
          </w:p>
          <w:p>
            <w:pPr>
              <w:snapToGrid w:val="0"/>
              <w:spacing w:line="360" w:lineRule="auto"/>
              <w:ind w:firstLine="482" w:firstLineChars="200"/>
              <w:rPr>
                <w:rFonts w:hint="eastAsia" w:ascii="仿宋_GB2312" w:eastAsia="仿宋_GB2312"/>
                <w:color w:val="auto"/>
                <w:sz w:val="24"/>
                <w:highlight w:val="none"/>
              </w:rPr>
            </w:pPr>
            <w:r>
              <w:rPr>
                <w:rFonts w:hint="eastAsia" w:ascii="仿宋_GB2312" w:eastAsia="仿宋_GB2312"/>
                <w:b/>
                <w:bCs/>
                <w:color w:val="auto"/>
                <w:sz w:val="24"/>
                <w:highlight w:val="none"/>
              </w:rPr>
              <w:t>2、工作方案，进度计划及资源配备</w:t>
            </w:r>
            <w:r>
              <w:rPr>
                <w:rFonts w:hint="eastAsia" w:ascii="仿宋_GB2312" w:eastAsia="仿宋_GB2312"/>
                <w:b/>
                <w:color w:val="auto"/>
                <w:sz w:val="24"/>
                <w:highlight w:val="none"/>
              </w:rPr>
              <w:t>（25分）</w:t>
            </w:r>
            <w:r>
              <w:rPr>
                <w:rFonts w:hint="eastAsia" w:ascii="仿宋_GB2312" w:eastAsia="仿宋_GB2312"/>
                <w:b/>
                <w:bCs/>
                <w:color w:val="auto"/>
                <w:sz w:val="24"/>
                <w:highlight w:val="none"/>
              </w:rPr>
              <w:t>。</w:t>
            </w:r>
            <w:r>
              <w:rPr>
                <w:rFonts w:hint="eastAsia" w:ascii="仿宋_GB2312" w:eastAsia="仿宋_GB2312"/>
                <w:color w:val="auto"/>
                <w:sz w:val="24"/>
                <w:highlight w:val="none"/>
              </w:rPr>
              <w:t>根据采购人需求，对项目工作重点、难点分析合理，关键节点的控制措施合理可行，提出工作方案，项目人员配备合理，有足够的人力确保本项目的顺利完成。根据方案中各项事务开展的方式、具体内容、人员配置等综合评定。</w:t>
            </w:r>
          </w:p>
          <w:p>
            <w:pPr>
              <w:snapToGrid w:val="0"/>
              <w:spacing w:line="360" w:lineRule="auto"/>
              <w:ind w:firstLine="480" w:firstLineChars="200"/>
              <w:rPr>
                <w:rFonts w:hint="eastAsia" w:ascii="仿宋_GB2312" w:eastAsia="仿宋_GB2312"/>
                <w:color w:val="auto"/>
                <w:sz w:val="24"/>
                <w:highlight w:val="none"/>
              </w:rPr>
            </w:pPr>
            <w:r>
              <w:rPr>
                <w:rFonts w:hint="eastAsia" w:ascii="仿宋_GB2312" w:eastAsia="仿宋_GB2312"/>
                <w:color w:val="auto"/>
                <w:sz w:val="24"/>
                <w:highlight w:val="none"/>
              </w:rPr>
              <w:t>A. 对项目工作重点、难点分析合理，能提供清晰高效的服务方案，工作时间与进度计划编排合理，资源配置良好，人员资质、素质和经验等情况符合工作要求，完全满足本项目的进度要求，得21-25分；</w:t>
            </w:r>
          </w:p>
          <w:p>
            <w:pPr>
              <w:snapToGrid w:val="0"/>
              <w:spacing w:line="360" w:lineRule="auto"/>
              <w:ind w:firstLine="480" w:firstLineChars="200"/>
              <w:rPr>
                <w:rFonts w:hint="eastAsia" w:ascii="仿宋_GB2312" w:eastAsia="仿宋_GB2312"/>
                <w:color w:val="auto"/>
                <w:sz w:val="24"/>
                <w:highlight w:val="none"/>
              </w:rPr>
            </w:pPr>
            <w:r>
              <w:rPr>
                <w:rFonts w:hint="eastAsia" w:ascii="仿宋_GB2312" w:eastAsia="仿宋_GB2312"/>
                <w:color w:val="auto"/>
                <w:sz w:val="24"/>
                <w:highlight w:val="none"/>
              </w:rPr>
              <w:t>B. 能基本理解本项目工作重点、难点，提供可行具体的方案和方法，基本能调配资源，基本满足本项目进度要求，得11-20分；</w:t>
            </w:r>
          </w:p>
          <w:p>
            <w:pPr>
              <w:snapToGrid w:val="0"/>
              <w:spacing w:line="360" w:lineRule="auto"/>
              <w:ind w:firstLine="480" w:firstLineChars="200"/>
              <w:rPr>
                <w:rFonts w:ascii="仿宋_GB2312" w:eastAsia="仿宋_GB2312"/>
                <w:color w:val="auto"/>
                <w:sz w:val="24"/>
                <w:highlight w:val="none"/>
              </w:rPr>
            </w:pPr>
            <w:r>
              <w:rPr>
                <w:rFonts w:hint="eastAsia" w:ascii="仿宋_GB2312" w:eastAsia="仿宋_GB2312"/>
                <w:color w:val="auto"/>
                <w:sz w:val="24"/>
                <w:highlight w:val="none"/>
              </w:rPr>
              <w:t xml:space="preserve">C.能简单理解本项目工作重点、难点，工作方案不清晰，人员资质、素质和经验不足，得1-10分； </w:t>
            </w:r>
          </w:p>
          <w:p>
            <w:pPr>
              <w:snapToGrid w:val="0"/>
              <w:spacing w:line="360" w:lineRule="auto"/>
              <w:ind w:firstLine="482" w:firstLineChars="200"/>
              <w:rPr>
                <w:rFonts w:hint="eastAsia" w:ascii="仿宋_GB2312" w:eastAsia="仿宋_GB2312"/>
                <w:b/>
                <w:color w:val="auto"/>
                <w:sz w:val="24"/>
                <w:highlight w:val="none"/>
              </w:rPr>
            </w:pPr>
            <w:r>
              <w:rPr>
                <w:rFonts w:hint="eastAsia" w:ascii="仿宋_GB2312" w:eastAsia="仿宋_GB2312"/>
                <w:b/>
                <w:color w:val="auto"/>
                <w:sz w:val="24"/>
                <w:highlight w:val="none"/>
              </w:rPr>
              <w:t>3、项目成果（15分）</w:t>
            </w:r>
            <w:r>
              <w:rPr>
                <w:rFonts w:hint="eastAsia" w:ascii="仿宋_GB2312" w:eastAsia="仿宋_GB2312"/>
                <w:color w:val="auto"/>
                <w:sz w:val="24"/>
                <w:highlight w:val="none"/>
              </w:rPr>
              <w:t>。完全响应采购文件前</w:t>
            </w:r>
            <w:r>
              <w:rPr>
                <w:rFonts w:hint="eastAsia" w:ascii="仿宋_GB2312" w:eastAsia="仿宋_GB2312"/>
                <w:color w:val="auto"/>
                <w:sz w:val="24"/>
                <w:highlight w:val="none"/>
                <w:lang w:val="en-US" w:eastAsia="zh-CN"/>
              </w:rPr>
              <w:t>10</w:t>
            </w:r>
            <w:r>
              <w:rPr>
                <w:rFonts w:hint="eastAsia" w:ascii="仿宋_GB2312" w:eastAsia="仿宋_GB2312"/>
                <w:color w:val="auto"/>
                <w:sz w:val="24"/>
                <w:highlight w:val="none"/>
              </w:rPr>
              <w:t>项成果要求，得10分；凡增加一项项目成果加1分，最高加5分。</w:t>
            </w:r>
          </w:p>
        </w:tc>
        <w:tc>
          <w:tcPr>
            <w:tcW w:w="709" w:type="dxa"/>
            <w:noWrap w:val="0"/>
            <w:vAlign w:val="top"/>
          </w:tcPr>
          <w:p>
            <w:pPr>
              <w:snapToGrid w:val="0"/>
              <w:spacing w:line="360" w:lineRule="auto"/>
              <w:rPr>
                <w:rFonts w:hint="eastAsia" w:ascii="仿宋_GB2312" w:eastAsia="仿宋_GB2312"/>
                <w:b/>
                <w:color w:val="auto"/>
                <w:sz w:val="24"/>
                <w:highlight w:val="none"/>
              </w:rPr>
            </w:pPr>
          </w:p>
        </w:tc>
        <w:tc>
          <w:tcPr>
            <w:tcW w:w="756" w:type="dxa"/>
            <w:noWrap w:val="0"/>
            <w:vAlign w:val="top"/>
          </w:tcPr>
          <w:p>
            <w:pPr>
              <w:snapToGrid w:val="0"/>
              <w:spacing w:line="360" w:lineRule="auto"/>
              <w:rPr>
                <w:rFonts w:hint="eastAsia" w:ascii="仿宋_GB2312" w:eastAsia="仿宋_GB2312"/>
                <w:b/>
                <w:color w:val="auto"/>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70" w:type="dxa"/>
            <w:vMerge w:val="restart"/>
            <w:noWrap w:val="0"/>
            <w:vAlign w:val="center"/>
          </w:tcPr>
          <w:p>
            <w:pPr>
              <w:snapToGrid w:val="0"/>
              <w:spacing w:line="360" w:lineRule="auto"/>
              <w:jc w:val="center"/>
              <w:rPr>
                <w:rFonts w:hint="eastAsia" w:ascii="仿宋_GB2312" w:eastAsia="仿宋_GB2312"/>
                <w:color w:val="auto"/>
                <w:sz w:val="24"/>
                <w:highlight w:val="none"/>
              </w:rPr>
            </w:pPr>
            <w:r>
              <w:rPr>
                <w:rFonts w:hint="eastAsia" w:ascii="仿宋_GB2312" w:eastAsia="仿宋_GB2312"/>
                <w:color w:val="auto"/>
                <w:sz w:val="24"/>
                <w:highlight w:val="none"/>
              </w:rPr>
              <w:t>服务团队综合资质</w:t>
            </w:r>
          </w:p>
        </w:tc>
        <w:tc>
          <w:tcPr>
            <w:tcW w:w="1015" w:type="dxa"/>
            <w:vMerge w:val="restart"/>
            <w:noWrap w:val="0"/>
            <w:vAlign w:val="center"/>
          </w:tcPr>
          <w:p>
            <w:pPr>
              <w:snapToGrid w:val="0"/>
              <w:spacing w:line="360" w:lineRule="auto"/>
              <w:jc w:val="center"/>
              <w:rPr>
                <w:rFonts w:hint="eastAsia" w:ascii="仿宋_GB2312" w:eastAsia="仿宋_GB2312"/>
                <w:color w:val="auto"/>
                <w:sz w:val="24"/>
                <w:highlight w:val="none"/>
              </w:rPr>
            </w:pPr>
            <w:r>
              <w:rPr>
                <w:rFonts w:ascii="仿宋_GB2312" w:eastAsia="仿宋_GB2312"/>
                <w:color w:val="auto"/>
                <w:sz w:val="24"/>
                <w:highlight w:val="none"/>
              </w:rPr>
              <w:t>1</w:t>
            </w:r>
            <w:r>
              <w:rPr>
                <w:rFonts w:hint="eastAsia" w:ascii="仿宋_GB2312" w:eastAsia="仿宋_GB2312"/>
                <w:color w:val="auto"/>
                <w:sz w:val="24"/>
                <w:highlight w:val="none"/>
                <w:lang w:val="en-US" w:eastAsia="zh-CN"/>
              </w:rPr>
              <w:t>0</w:t>
            </w:r>
            <w:r>
              <w:rPr>
                <w:rFonts w:hint="eastAsia" w:ascii="仿宋_GB2312" w:eastAsia="仿宋_GB2312"/>
                <w:color w:val="auto"/>
                <w:sz w:val="24"/>
                <w:highlight w:val="none"/>
              </w:rPr>
              <w:t>分</w:t>
            </w:r>
          </w:p>
        </w:tc>
        <w:tc>
          <w:tcPr>
            <w:tcW w:w="6237" w:type="dxa"/>
            <w:noWrap w:val="0"/>
            <w:vAlign w:val="top"/>
          </w:tcPr>
          <w:p>
            <w:pPr>
              <w:snapToGrid w:val="0"/>
              <w:spacing w:line="360" w:lineRule="auto"/>
              <w:ind w:firstLine="482" w:firstLineChars="200"/>
              <w:rPr>
                <w:rFonts w:hint="eastAsia" w:ascii="仿宋_GB2312" w:eastAsia="仿宋_GB2312"/>
                <w:color w:val="auto"/>
                <w:sz w:val="24"/>
                <w:highlight w:val="none"/>
              </w:rPr>
            </w:pPr>
            <w:r>
              <w:rPr>
                <w:rFonts w:hint="eastAsia" w:ascii="仿宋_GB2312" w:eastAsia="仿宋_GB2312"/>
                <w:b/>
                <w:color w:val="auto"/>
                <w:sz w:val="24"/>
                <w:highlight w:val="none"/>
              </w:rPr>
              <w:t>1、配备人数（1-7分）。</w:t>
            </w:r>
            <w:r>
              <w:rPr>
                <w:rFonts w:hint="eastAsia" w:ascii="仿宋_GB2312" w:eastAsia="仿宋_GB2312"/>
                <w:color w:val="auto"/>
                <w:sz w:val="24"/>
                <w:highlight w:val="none"/>
              </w:rPr>
              <w:t>配备四名人员得5分，每增加1名加1分，合计不超过7分（其中至少1名项目负责人具有5年及以上工作经验；其他服务人员至少3人，且均具有风险内控或合规管理咨询工作经验）。</w:t>
            </w:r>
          </w:p>
        </w:tc>
        <w:tc>
          <w:tcPr>
            <w:tcW w:w="709" w:type="dxa"/>
            <w:noWrap w:val="0"/>
            <w:vAlign w:val="top"/>
          </w:tcPr>
          <w:p>
            <w:pPr>
              <w:snapToGrid w:val="0"/>
              <w:spacing w:line="360" w:lineRule="auto"/>
              <w:ind w:firstLine="482" w:firstLineChars="200"/>
              <w:rPr>
                <w:rFonts w:hint="eastAsia" w:ascii="仿宋_GB2312" w:eastAsia="仿宋_GB2312"/>
                <w:b/>
                <w:color w:val="auto"/>
                <w:sz w:val="24"/>
                <w:highlight w:val="none"/>
              </w:rPr>
            </w:pPr>
          </w:p>
        </w:tc>
        <w:tc>
          <w:tcPr>
            <w:tcW w:w="756" w:type="dxa"/>
            <w:vMerge w:val="restart"/>
            <w:noWrap w:val="0"/>
            <w:vAlign w:val="top"/>
          </w:tcPr>
          <w:p>
            <w:pPr>
              <w:snapToGrid w:val="0"/>
              <w:spacing w:line="360" w:lineRule="auto"/>
              <w:ind w:firstLine="482" w:firstLineChars="200"/>
              <w:rPr>
                <w:rFonts w:hint="eastAsia" w:ascii="仿宋_GB2312" w:eastAsia="仿宋_GB2312"/>
                <w:b/>
                <w:color w:val="auto"/>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70" w:type="dxa"/>
            <w:vMerge w:val="continue"/>
            <w:noWrap w:val="0"/>
            <w:vAlign w:val="center"/>
          </w:tcPr>
          <w:p>
            <w:pPr>
              <w:snapToGrid w:val="0"/>
              <w:spacing w:line="360" w:lineRule="auto"/>
              <w:jc w:val="center"/>
              <w:rPr>
                <w:color w:val="auto"/>
                <w:highlight w:val="none"/>
              </w:rPr>
            </w:pPr>
          </w:p>
        </w:tc>
        <w:tc>
          <w:tcPr>
            <w:tcW w:w="1015" w:type="dxa"/>
            <w:vMerge w:val="continue"/>
            <w:noWrap w:val="0"/>
            <w:vAlign w:val="center"/>
          </w:tcPr>
          <w:p>
            <w:pPr>
              <w:snapToGrid w:val="0"/>
              <w:spacing w:line="360" w:lineRule="auto"/>
              <w:jc w:val="center"/>
              <w:rPr>
                <w:color w:val="auto"/>
                <w:highlight w:val="none"/>
              </w:rPr>
            </w:pPr>
          </w:p>
        </w:tc>
        <w:tc>
          <w:tcPr>
            <w:tcW w:w="6237" w:type="dxa"/>
            <w:noWrap w:val="0"/>
            <w:vAlign w:val="top"/>
          </w:tcPr>
          <w:p>
            <w:pPr>
              <w:snapToGrid w:val="0"/>
              <w:spacing w:line="360" w:lineRule="auto"/>
              <w:ind w:firstLine="482" w:firstLineChars="200"/>
              <w:rPr>
                <w:rFonts w:hint="eastAsia" w:ascii="仿宋_GB2312" w:eastAsia="仿宋_GB2312"/>
                <w:color w:val="auto"/>
                <w:sz w:val="24"/>
                <w:highlight w:val="none"/>
              </w:rPr>
            </w:pPr>
            <w:r>
              <w:rPr>
                <w:rFonts w:hint="eastAsia" w:ascii="仿宋_GB2312" w:eastAsia="仿宋_GB2312"/>
                <w:b/>
                <w:color w:val="auto"/>
                <w:sz w:val="24"/>
                <w:highlight w:val="none"/>
              </w:rPr>
              <w:t>2、配备服务团队从业年限（1-3分）。</w:t>
            </w:r>
            <w:r>
              <w:rPr>
                <w:rFonts w:hint="eastAsia" w:ascii="仿宋_GB2312" w:eastAsia="仿宋_GB2312"/>
                <w:color w:val="auto"/>
                <w:sz w:val="24"/>
                <w:highlight w:val="none"/>
              </w:rPr>
              <w:t>服务团队成员从业平均年限</w:t>
            </w:r>
            <w:r>
              <w:rPr>
                <w:rFonts w:hint="eastAsia" w:ascii="仿宋_GB2312" w:eastAsia="仿宋_GB2312"/>
                <w:b/>
                <w:color w:val="auto"/>
                <w:sz w:val="24"/>
                <w:highlight w:val="none"/>
              </w:rPr>
              <w:t>横向比较排名，排名第一得3分，其余排名每靠后一名得分依次减少1</w:t>
            </w:r>
            <w:r>
              <w:rPr>
                <w:rFonts w:ascii="仿宋_GB2312" w:eastAsia="仿宋_GB2312"/>
                <w:b/>
                <w:color w:val="auto"/>
                <w:sz w:val="24"/>
                <w:highlight w:val="none"/>
              </w:rPr>
              <w:t>分</w:t>
            </w:r>
            <w:r>
              <w:rPr>
                <w:rFonts w:hint="eastAsia" w:ascii="仿宋_GB2312" w:eastAsia="仿宋_GB2312"/>
                <w:b/>
                <w:color w:val="auto"/>
                <w:sz w:val="24"/>
                <w:highlight w:val="none"/>
                <w:lang w:eastAsia="zh-CN"/>
              </w:rPr>
              <w:t>，最低得分</w:t>
            </w:r>
            <w:r>
              <w:rPr>
                <w:rFonts w:hint="eastAsia" w:ascii="仿宋_GB2312" w:eastAsia="仿宋_GB2312"/>
                <w:b/>
                <w:color w:val="auto"/>
                <w:sz w:val="24"/>
                <w:highlight w:val="none"/>
                <w:lang w:val="en-US" w:eastAsia="zh-CN"/>
              </w:rPr>
              <w:t>0分</w:t>
            </w:r>
            <w:r>
              <w:rPr>
                <w:rFonts w:hint="eastAsia" w:ascii="仿宋_GB2312" w:eastAsia="仿宋_GB2312"/>
                <w:b/>
                <w:color w:val="auto"/>
                <w:sz w:val="24"/>
                <w:highlight w:val="none"/>
              </w:rPr>
              <w:t>。</w:t>
            </w:r>
          </w:p>
        </w:tc>
        <w:tc>
          <w:tcPr>
            <w:tcW w:w="709" w:type="dxa"/>
            <w:noWrap w:val="0"/>
            <w:vAlign w:val="top"/>
          </w:tcPr>
          <w:p>
            <w:pPr>
              <w:snapToGrid w:val="0"/>
              <w:spacing w:line="360" w:lineRule="auto"/>
              <w:ind w:firstLine="482" w:firstLineChars="200"/>
              <w:rPr>
                <w:rFonts w:hint="eastAsia" w:ascii="仿宋_GB2312" w:eastAsia="仿宋_GB2312"/>
                <w:b/>
                <w:color w:val="auto"/>
                <w:sz w:val="24"/>
                <w:highlight w:val="none"/>
              </w:rPr>
            </w:pPr>
          </w:p>
        </w:tc>
        <w:tc>
          <w:tcPr>
            <w:tcW w:w="756" w:type="dxa"/>
            <w:vMerge w:val="continue"/>
            <w:noWrap w:val="0"/>
            <w:vAlign w:val="top"/>
          </w:tcPr>
          <w:p>
            <w:pPr>
              <w:snapToGrid w:val="0"/>
              <w:spacing w:line="360" w:lineRule="auto"/>
              <w:ind w:firstLine="482" w:firstLineChars="200"/>
              <w:rPr>
                <w:rFonts w:hint="eastAsia" w:ascii="仿宋_GB2312" w:eastAsia="仿宋_GB2312"/>
                <w:b/>
                <w:color w:val="auto"/>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0" w:hRule="atLeast"/>
        </w:trPr>
        <w:tc>
          <w:tcPr>
            <w:tcW w:w="970" w:type="dxa"/>
            <w:vMerge w:val="restart"/>
            <w:noWrap w:val="0"/>
            <w:vAlign w:val="center"/>
          </w:tcPr>
          <w:p>
            <w:pPr>
              <w:snapToGrid w:val="0"/>
              <w:spacing w:line="360" w:lineRule="auto"/>
              <w:jc w:val="center"/>
              <w:rPr>
                <w:rFonts w:hint="eastAsia" w:ascii="仿宋_GB2312" w:eastAsia="仿宋_GB2312"/>
                <w:color w:val="auto"/>
                <w:sz w:val="24"/>
                <w:highlight w:val="none"/>
              </w:rPr>
            </w:pPr>
            <w:r>
              <w:rPr>
                <w:rFonts w:hint="eastAsia" w:ascii="仿宋_GB2312" w:eastAsia="仿宋_GB2312"/>
                <w:color w:val="auto"/>
                <w:sz w:val="24"/>
                <w:highlight w:val="none"/>
              </w:rPr>
              <w:t>项目业绩</w:t>
            </w:r>
          </w:p>
        </w:tc>
        <w:tc>
          <w:tcPr>
            <w:tcW w:w="1015" w:type="dxa"/>
            <w:vMerge w:val="restart"/>
            <w:noWrap w:val="0"/>
            <w:vAlign w:val="center"/>
          </w:tcPr>
          <w:p>
            <w:pPr>
              <w:snapToGrid w:val="0"/>
              <w:spacing w:line="360" w:lineRule="auto"/>
              <w:jc w:val="center"/>
              <w:rPr>
                <w:rFonts w:hint="eastAsia" w:ascii="仿宋_GB2312" w:eastAsia="仿宋_GB2312"/>
                <w:color w:val="auto"/>
                <w:sz w:val="24"/>
                <w:highlight w:val="none"/>
              </w:rPr>
            </w:pPr>
            <w:r>
              <w:rPr>
                <w:rFonts w:hint="eastAsia" w:ascii="仿宋_GB2312" w:eastAsia="仿宋_GB2312"/>
                <w:color w:val="auto"/>
                <w:sz w:val="24"/>
                <w:highlight w:val="none"/>
              </w:rPr>
              <w:t>1</w:t>
            </w:r>
            <w:r>
              <w:rPr>
                <w:rFonts w:ascii="仿宋_GB2312" w:eastAsia="仿宋_GB2312"/>
                <w:color w:val="auto"/>
                <w:sz w:val="24"/>
                <w:highlight w:val="none"/>
              </w:rPr>
              <w:t>0</w:t>
            </w:r>
            <w:r>
              <w:rPr>
                <w:rFonts w:hint="eastAsia" w:ascii="仿宋_GB2312" w:eastAsia="仿宋_GB2312"/>
                <w:color w:val="auto"/>
                <w:sz w:val="24"/>
                <w:highlight w:val="none"/>
              </w:rPr>
              <w:t>分</w:t>
            </w:r>
          </w:p>
        </w:tc>
        <w:tc>
          <w:tcPr>
            <w:tcW w:w="6237" w:type="dxa"/>
            <w:tcBorders>
              <w:bottom w:val="single" w:color="auto" w:sz="4" w:space="0"/>
            </w:tcBorders>
            <w:noWrap w:val="0"/>
            <w:vAlign w:val="center"/>
          </w:tcPr>
          <w:p>
            <w:pPr>
              <w:snapToGrid w:val="0"/>
              <w:spacing w:line="360" w:lineRule="auto"/>
              <w:ind w:firstLine="482" w:firstLineChars="200"/>
              <w:rPr>
                <w:rFonts w:hint="eastAsia" w:ascii="仿宋_GB2312" w:eastAsia="仿宋_GB2312"/>
                <w:color w:val="auto"/>
                <w:sz w:val="24"/>
                <w:highlight w:val="none"/>
              </w:rPr>
            </w:pPr>
            <w:r>
              <w:rPr>
                <w:rFonts w:hint="eastAsia" w:ascii="仿宋_GB2312" w:eastAsia="仿宋_GB2312"/>
                <w:b/>
                <w:color w:val="auto"/>
                <w:sz w:val="24"/>
                <w:highlight w:val="none"/>
              </w:rPr>
              <w:t>1、风控、内控、合规管理单项咨询经验（</w:t>
            </w:r>
            <w:r>
              <w:rPr>
                <w:rFonts w:hint="eastAsia" w:ascii="仿宋_GB2312" w:eastAsia="仿宋_GB2312"/>
                <w:b/>
                <w:color w:val="auto"/>
                <w:sz w:val="24"/>
                <w:highlight w:val="none"/>
                <w:lang w:val="en-US" w:eastAsia="zh-CN"/>
              </w:rPr>
              <w:t>6</w:t>
            </w:r>
            <w:r>
              <w:rPr>
                <w:rFonts w:hint="eastAsia" w:ascii="仿宋_GB2312" w:eastAsia="仿宋_GB2312"/>
                <w:b/>
                <w:color w:val="auto"/>
                <w:sz w:val="24"/>
                <w:highlight w:val="none"/>
              </w:rPr>
              <w:t>分）</w:t>
            </w:r>
            <w:r>
              <w:rPr>
                <w:rFonts w:hint="eastAsia" w:ascii="仿宋_GB2312" w:eastAsia="仿宋_GB2312"/>
                <w:color w:val="auto"/>
                <w:sz w:val="24"/>
                <w:highlight w:val="none"/>
              </w:rPr>
              <w:t>。项目服务团队近三年内有完成过国有企业风险防控管理咨询、内部控制管理咨询、合规管理咨询单个项目业绩。无论合同金额大小，每个项目得1分,最高得</w:t>
            </w:r>
            <w:r>
              <w:rPr>
                <w:rFonts w:hint="eastAsia" w:ascii="仿宋_GB2312" w:eastAsia="仿宋_GB2312"/>
                <w:color w:val="auto"/>
                <w:sz w:val="24"/>
                <w:highlight w:val="none"/>
                <w:lang w:val="en-US" w:eastAsia="zh-CN"/>
              </w:rPr>
              <w:t>6</w:t>
            </w:r>
            <w:r>
              <w:rPr>
                <w:rFonts w:hint="eastAsia" w:ascii="仿宋_GB2312" w:eastAsia="仿宋_GB2312"/>
                <w:color w:val="auto"/>
                <w:sz w:val="24"/>
                <w:highlight w:val="none"/>
              </w:rPr>
              <w:t>分（同一甲方单位的多个同类项目，按一个计算）。三体系整合建设项目经验的除外。相关业绩需提供合同复印件作为有效证明材料。</w:t>
            </w:r>
          </w:p>
        </w:tc>
        <w:tc>
          <w:tcPr>
            <w:tcW w:w="709" w:type="dxa"/>
            <w:tcBorders>
              <w:bottom w:val="single" w:color="auto" w:sz="4" w:space="0"/>
            </w:tcBorders>
            <w:noWrap w:val="0"/>
            <w:vAlign w:val="top"/>
          </w:tcPr>
          <w:p>
            <w:pPr>
              <w:snapToGrid w:val="0"/>
              <w:spacing w:line="360" w:lineRule="auto"/>
              <w:ind w:firstLine="482" w:firstLineChars="200"/>
              <w:rPr>
                <w:rFonts w:hint="eastAsia" w:ascii="仿宋_GB2312" w:eastAsia="仿宋_GB2312"/>
                <w:b/>
                <w:color w:val="auto"/>
                <w:sz w:val="24"/>
                <w:highlight w:val="none"/>
              </w:rPr>
            </w:pPr>
          </w:p>
        </w:tc>
        <w:tc>
          <w:tcPr>
            <w:tcW w:w="756" w:type="dxa"/>
            <w:vMerge w:val="restart"/>
            <w:noWrap w:val="0"/>
            <w:vAlign w:val="top"/>
          </w:tcPr>
          <w:p>
            <w:pPr>
              <w:snapToGrid w:val="0"/>
              <w:spacing w:line="360" w:lineRule="auto"/>
              <w:ind w:firstLine="482" w:firstLineChars="200"/>
              <w:rPr>
                <w:rFonts w:hint="eastAsia" w:ascii="仿宋_GB2312" w:eastAsia="仿宋_GB2312"/>
                <w:b/>
                <w:color w:val="auto"/>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4" w:hRule="atLeast"/>
        </w:trPr>
        <w:tc>
          <w:tcPr>
            <w:tcW w:w="970" w:type="dxa"/>
            <w:vMerge w:val="continue"/>
            <w:noWrap w:val="0"/>
            <w:vAlign w:val="center"/>
          </w:tcPr>
          <w:p>
            <w:pPr>
              <w:snapToGrid w:val="0"/>
              <w:spacing w:line="360" w:lineRule="auto"/>
              <w:jc w:val="center"/>
              <w:rPr>
                <w:color w:val="auto"/>
                <w:highlight w:val="none"/>
              </w:rPr>
            </w:pPr>
          </w:p>
        </w:tc>
        <w:tc>
          <w:tcPr>
            <w:tcW w:w="1015" w:type="dxa"/>
            <w:vMerge w:val="continue"/>
            <w:noWrap w:val="0"/>
            <w:vAlign w:val="center"/>
          </w:tcPr>
          <w:p>
            <w:pPr>
              <w:snapToGrid w:val="0"/>
              <w:spacing w:line="360" w:lineRule="auto"/>
              <w:jc w:val="center"/>
              <w:rPr>
                <w:color w:val="auto"/>
                <w:highlight w:val="none"/>
              </w:rPr>
            </w:pPr>
          </w:p>
        </w:tc>
        <w:tc>
          <w:tcPr>
            <w:tcW w:w="6237" w:type="dxa"/>
            <w:tcBorders>
              <w:top w:val="single" w:color="auto" w:sz="4" w:space="0"/>
            </w:tcBorders>
            <w:noWrap w:val="0"/>
            <w:vAlign w:val="center"/>
          </w:tcPr>
          <w:p>
            <w:pPr>
              <w:snapToGrid w:val="0"/>
              <w:spacing w:line="360" w:lineRule="auto"/>
              <w:ind w:firstLine="482" w:firstLineChars="200"/>
              <w:rPr>
                <w:rFonts w:hint="eastAsia" w:ascii="仿宋_GB2312" w:eastAsia="仿宋_GB2312"/>
                <w:color w:val="auto"/>
                <w:sz w:val="24"/>
                <w:highlight w:val="none"/>
              </w:rPr>
            </w:pPr>
            <w:r>
              <w:rPr>
                <w:rFonts w:hint="eastAsia" w:ascii="仿宋_GB2312" w:eastAsia="仿宋_GB2312"/>
                <w:b/>
                <w:color w:val="auto"/>
                <w:sz w:val="24"/>
                <w:highlight w:val="none"/>
                <w:lang w:val="en-US" w:eastAsia="zh-CN"/>
              </w:rPr>
              <w:t>2</w:t>
            </w:r>
            <w:r>
              <w:rPr>
                <w:rFonts w:hint="eastAsia" w:ascii="仿宋_GB2312" w:eastAsia="仿宋_GB2312"/>
                <w:b/>
                <w:color w:val="auto"/>
                <w:sz w:val="24"/>
                <w:highlight w:val="none"/>
              </w:rPr>
              <w:t>、风控、内控、合规管理单项咨询经验（</w:t>
            </w:r>
            <w:r>
              <w:rPr>
                <w:rFonts w:hint="eastAsia" w:ascii="仿宋_GB2312" w:eastAsia="仿宋_GB2312"/>
                <w:b/>
                <w:color w:val="auto"/>
                <w:sz w:val="24"/>
                <w:highlight w:val="none"/>
                <w:lang w:val="en-US" w:eastAsia="zh-CN"/>
              </w:rPr>
              <w:t>4</w:t>
            </w:r>
            <w:r>
              <w:rPr>
                <w:rFonts w:hint="eastAsia" w:ascii="仿宋_GB2312" w:eastAsia="仿宋_GB2312"/>
                <w:b/>
                <w:color w:val="auto"/>
                <w:sz w:val="24"/>
                <w:highlight w:val="none"/>
              </w:rPr>
              <w:t>分）</w:t>
            </w:r>
            <w:r>
              <w:rPr>
                <w:rFonts w:hint="eastAsia" w:ascii="仿宋_GB2312" w:eastAsia="仿宋_GB2312"/>
                <w:color w:val="auto"/>
                <w:sz w:val="24"/>
                <w:highlight w:val="none"/>
              </w:rPr>
              <w:t>。项目服务团队近三年内有完成过国有企业风险防控管理咨询、内部控制管理咨询、合规管理咨询单个项目业绩。无论合同金额大小，每个项目得</w:t>
            </w:r>
            <w:r>
              <w:rPr>
                <w:rFonts w:hint="eastAsia" w:ascii="仿宋_GB2312" w:eastAsia="仿宋_GB2312"/>
                <w:color w:val="auto"/>
                <w:sz w:val="24"/>
                <w:highlight w:val="none"/>
                <w:lang w:val="en-US" w:eastAsia="zh-CN"/>
              </w:rPr>
              <w:t>2</w:t>
            </w:r>
            <w:r>
              <w:rPr>
                <w:rFonts w:hint="eastAsia" w:ascii="仿宋_GB2312" w:eastAsia="仿宋_GB2312"/>
                <w:color w:val="auto"/>
                <w:sz w:val="24"/>
                <w:highlight w:val="none"/>
              </w:rPr>
              <w:t>分,最高得</w:t>
            </w:r>
            <w:r>
              <w:rPr>
                <w:rFonts w:hint="eastAsia" w:ascii="仿宋_GB2312" w:eastAsia="仿宋_GB2312"/>
                <w:color w:val="auto"/>
                <w:sz w:val="24"/>
                <w:highlight w:val="none"/>
                <w:lang w:val="en-US" w:eastAsia="zh-CN"/>
              </w:rPr>
              <w:t>4</w:t>
            </w:r>
            <w:r>
              <w:rPr>
                <w:rFonts w:hint="eastAsia" w:ascii="仿宋_GB2312" w:eastAsia="仿宋_GB2312"/>
                <w:color w:val="auto"/>
                <w:sz w:val="24"/>
                <w:highlight w:val="none"/>
              </w:rPr>
              <w:t>分（同一甲方单位的多个同类项目，按一个计算）。三体系整合建设项目经验的除外。相关业绩需提供合同复印件作为有效证明材料。</w:t>
            </w:r>
          </w:p>
        </w:tc>
        <w:tc>
          <w:tcPr>
            <w:tcW w:w="709" w:type="dxa"/>
            <w:tcBorders>
              <w:top w:val="single" w:color="auto" w:sz="4" w:space="0"/>
            </w:tcBorders>
            <w:noWrap w:val="0"/>
            <w:vAlign w:val="top"/>
          </w:tcPr>
          <w:p>
            <w:pPr>
              <w:snapToGrid w:val="0"/>
              <w:spacing w:line="360" w:lineRule="auto"/>
              <w:ind w:firstLine="482" w:firstLineChars="200"/>
              <w:rPr>
                <w:rFonts w:hint="eastAsia" w:ascii="仿宋_GB2312" w:eastAsia="仿宋_GB2312"/>
                <w:b/>
                <w:color w:val="auto"/>
                <w:sz w:val="24"/>
                <w:highlight w:val="none"/>
              </w:rPr>
            </w:pPr>
          </w:p>
        </w:tc>
        <w:tc>
          <w:tcPr>
            <w:tcW w:w="756" w:type="dxa"/>
            <w:vMerge w:val="continue"/>
            <w:noWrap w:val="0"/>
            <w:vAlign w:val="top"/>
          </w:tcPr>
          <w:p>
            <w:pPr>
              <w:snapToGrid w:val="0"/>
              <w:spacing w:line="360" w:lineRule="auto"/>
              <w:ind w:firstLine="482" w:firstLineChars="200"/>
              <w:rPr>
                <w:rFonts w:hint="eastAsia" w:ascii="仿宋_GB2312" w:eastAsia="仿宋_GB2312"/>
                <w:b/>
                <w:color w:val="auto"/>
                <w:sz w:val="24"/>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9" w:hRule="atLeast"/>
        </w:trPr>
        <w:tc>
          <w:tcPr>
            <w:tcW w:w="970" w:type="dxa"/>
            <w:noWrap w:val="0"/>
            <w:vAlign w:val="center"/>
          </w:tcPr>
          <w:p>
            <w:pPr>
              <w:snapToGrid w:val="0"/>
              <w:spacing w:line="360" w:lineRule="auto"/>
              <w:jc w:val="center"/>
              <w:rPr>
                <w:rFonts w:hint="eastAsia" w:ascii="仿宋_GB2312" w:eastAsia="仿宋_GB2312"/>
                <w:b/>
                <w:color w:val="auto"/>
                <w:sz w:val="24"/>
                <w:highlight w:val="none"/>
              </w:rPr>
            </w:pPr>
            <w:r>
              <w:rPr>
                <w:rFonts w:hint="eastAsia" w:ascii="仿宋_GB2312" w:eastAsia="仿宋_GB2312"/>
                <w:b/>
                <w:color w:val="auto"/>
                <w:sz w:val="24"/>
                <w:highlight w:val="none"/>
              </w:rPr>
              <w:t>总分</w:t>
            </w:r>
          </w:p>
        </w:tc>
        <w:tc>
          <w:tcPr>
            <w:tcW w:w="1015" w:type="dxa"/>
            <w:noWrap w:val="0"/>
            <w:vAlign w:val="center"/>
          </w:tcPr>
          <w:p>
            <w:pPr>
              <w:snapToGrid w:val="0"/>
              <w:spacing w:line="360" w:lineRule="auto"/>
              <w:jc w:val="center"/>
              <w:rPr>
                <w:rFonts w:hint="eastAsia" w:ascii="仿宋_GB2312" w:eastAsia="仿宋_GB2312"/>
                <w:b/>
                <w:color w:val="auto"/>
                <w:sz w:val="24"/>
                <w:highlight w:val="none"/>
              </w:rPr>
            </w:pPr>
            <w:r>
              <w:rPr>
                <w:rFonts w:hint="eastAsia" w:ascii="仿宋_GB2312" w:eastAsia="仿宋_GB2312"/>
                <w:b/>
                <w:color w:val="auto"/>
                <w:sz w:val="24"/>
                <w:highlight w:val="none"/>
              </w:rPr>
              <w:t>100分</w:t>
            </w:r>
          </w:p>
        </w:tc>
        <w:tc>
          <w:tcPr>
            <w:tcW w:w="6237" w:type="dxa"/>
            <w:noWrap w:val="0"/>
            <w:vAlign w:val="center"/>
          </w:tcPr>
          <w:p>
            <w:pPr>
              <w:snapToGrid w:val="0"/>
              <w:spacing w:line="360" w:lineRule="auto"/>
              <w:jc w:val="center"/>
              <w:rPr>
                <w:rFonts w:hint="eastAsia" w:ascii="仿宋_GB2312" w:eastAsia="仿宋_GB2312"/>
                <w:b/>
                <w:color w:val="auto"/>
                <w:sz w:val="24"/>
                <w:highlight w:val="none"/>
              </w:rPr>
            </w:pPr>
            <w:r>
              <w:rPr>
                <w:rFonts w:hint="eastAsia" w:ascii="仿宋_GB2312" w:eastAsia="仿宋_GB2312"/>
                <w:b/>
                <w:color w:val="auto"/>
                <w:sz w:val="24"/>
                <w:highlight w:val="none"/>
              </w:rPr>
              <w:t>低于</w:t>
            </w:r>
            <w:r>
              <w:rPr>
                <w:rFonts w:ascii="仿宋_GB2312" w:eastAsia="仿宋_GB2312"/>
                <w:b/>
                <w:color w:val="auto"/>
                <w:sz w:val="24"/>
                <w:highlight w:val="none"/>
              </w:rPr>
              <w:t>6</w:t>
            </w:r>
            <w:r>
              <w:rPr>
                <w:rFonts w:hint="eastAsia" w:ascii="仿宋_GB2312" w:eastAsia="仿宋_GB2312"/>
                <w:b/>
                <w:color w:val="auto"/>
                <w:sz w:val="24"/>
                <w:highlight w:val="none"/>
              </w:rPr>
              <w:t>0分不得成交</w:t>
            </w:r>
          </w:p>
        </w:tc>
        <w:tc>
          <w:tcPr>
            <w:tcW w:w="709" w:type="dxa"/>
            <w:noWrap w:val="0"/>
            <w:vAlign w:val="center"/>
          </w:tcPr>
          <w:p>
            <w:pPr>
              <w:snapToGrid w:val="0"/>
              <w:spacing w:line="360" w:lineRule="auto"/>
              <w:jc w:val="center"/>
              <w:rPr>
                <w:rFonts w:hint="eastAsia" w:ascii="仿宋_GB2312" w:eastAsia="仿宋_GB2312"/>
                <w:b/>
                <w:color w:val="auto"/>
                <w:sz w:val="24"/>
                <w:highlight w:val="none"/>
              </w:rPr>
            </w:pPr>
          </w:p>
        </w:tc>
        <w:tc>
          <w:tcPr>
            <w:tcW w:w="756" w:type="dxa"/>
            <w:noWrap w:val="0"/>
            <w:vAlign w:val="center"/>
          </w:tcPr>
          <w:p>
            <w:pPr>
              <w:snapToGrid w:val="0"/>
              <w:spacing w:line="360" w:lineRule="auto"/>
              <w:jc w:val="center"/>
              <w:rPr>
                <w:rFonts w:hint="eastAsia" w:ascii="仿宋_GB2312" w:eastAsia="仿宋_GB2312"/>
                <w:b/>
                <w:color w:val="auto"/>
                <w:sz w:val="24"/>
                <w:highlight w:val="none"/>
              </w:rPr>
            </w:pPr>
          </w:p>
        </w:tc>
      </w:tr>
    </w:tbl>
    <w:p>
      <w:pPr>
        <w:snapToGrid w:val="0"/>
        <w:spacing w:line="360" w:lineRule="auto"/>
        <w:rPr>
          <w:rFonts w:hint="eastAsia" w:ascii="仿宋_GB2312" w:hAnsi="仿宋_GB2312"/>
          <w:b/>
          <w:color w:val="auto"/>
          <w:kern w:val="0"/>
          <w:sz w:val="24"/>
          <w:highlight w:val="none"/>
        </w:rPr>
      </w:pPr>
    </w:p>
    <w:p>
      <w:pPr>
        <w:snapToGrid w:val="0"/>
        <w:spacing w:line="360" w:lineRule="auto"/>
        <w:rPr>
          <w:rFonts w:ascii="仿宋_GB2312" w:hAnsi="仿宋_GB2312"/>
          <w:b/>
          <w:color w:val="auto"/>
          <w:kern w:val="0"/>
          <w:sz w:val="24"/>
          <w:highlight w:val="none"/>
        </w:rPr>
      </w:pPr>
      <w:r>
        <w:rPr>
          <w:rFonts w:hint="eastAsia" w:ascii="仿宋_GB2312" w:hAnsi="仿宋_GB2312"/>
          <w:b/>
          <w:color w:val="auto"/>
          <w:kern w:val="0"/>
          <w:sz w:val="24"/>
          <w:highlight w:val="none"/>
        </w:rPr>
        <w:t xml:space="preserve">评委签名：                                            </w:t>
      </w:r>
      <w:r>
        <w:rPr>
          <w:rFonts w:hint="eastAsia"/>
          <w:b/>
          <w:color w:val="auto"/>
          <w:highlight w:val="none"/>
        </w:rPr>
        <w:t>时间：</w:t>
      </w:r>
    </w:p>
    <w:p>
      <w:pPr>
        <w:widowControl/>
        <w:snapToGrid w:val="0"/>
        <w:spacing w:line="360" w:lineRule="auto"/>
        <w:jc w:val="left"/>
        <w:rPr>
          <w:rFonts w:hint="eastAsia" w:ascii="仿宋_GB2312" w:hAnsi="仿宋_GB2312"/>
          <w:color w:val="auto"/>
          <w:kern w:val="0"/>
          <w:sz w:val="24"/>
          <w:highlight w:val="none"/>
        </w:rPr>
      </w:pPr>
    </w:p>
    <w:p>
      <w:pPr>
        <w:snapToGrid w:val="0"/>
        <w:spacing w:before="156" w:beforeLines="50" w:after="156" w:afterLines="50" w:line="360" w:lineRule="auto"/>
        <w:ind w:firstLine="360" w:firstLineChars="150"/>
        <w:rPr>
          <w:color w:val="auto"/>
          <w:sz w:val="24"/>
          <w:highlight w:val="none"/>
        </w:rPr>
      </w:pPr>
    </w:p>
    <w:p>
      <w:pPr>
        <w:snapToGrid w:val="0"/>
        <w:spacing w:line="360" w:lineRule="auto"/>
        <w:rPr>
          <w:b/>
          <w:color w:val="auto"/>
          <w:highlight w:val="none"/>
        </w:rPr>
      </w:pPr>
      <w:r>
        <w:rPr>
          <w:color w:val="auto"/>
          <w:sz w:val="24"/>
          <w:highlight w:val="none"/>
        </w:rPr>
        <w:br w:type="page"/>
      </w:r>
      <w:r>
        <w:rPr>
          <w:rFonts w:hint="eastAsia" w:ascii="黑体" w:hAnsi="黑体" w:eastAsia="黑体" w:cs="黑体"/>
          <w:bCs/>
          <w:color w:val="auto"/>
          <w:sz w:val="32"/>
          <w:szCs w:val="32"/>
          <w:highlight w:val="none"/>
        </w:rPr>
        <w:t>附件3</w:t>
      </w:r>
    </w:p>
    <w:p>
      <w:pPr>
        <w:snapToGrid w:val="0"/>
        <w:spacing w:line="360" w:lineRule="auto"/>
        <w:jc w:val="center"/>
        <w:rPr>
          <w:b/>
          <w:color w:val="auto"/>
          <w:sz w:val="32"/>
          <w:szCs w:val="32"/>
          <w:highlight w:val="none"/>
        </w:rPr>
      </w:pPr>
      <w:r>
        <w:rPr>
          <w:rFonts w:hint="eastAsia" w:ascii="方正小标宋简体" w:hAnsi="方正小标宋简体" w:eastAsia="方正小标宋简体" w:cs="方正小标宋简体"/>
          <w:bCs/>
          <w:color w:val="auto"/>
          <w:sz w:val="44"/>
          <w:szCs w:val="44"/>
          <w:highlight w:val="none"/>
        </w:rPr>
        <w:t>详细评审结果汇总表</w:t>
      </w:r>
    </w:p>
    <w:p>
      <w:pPr>
        <w:snapToGrid w:val="0"/>
        <w:spacing w:line="360" w:lineRule="auto"/>
        <w:rPr>
          <w:b/>
          <w:color w:val="auto"/>
          <w:highlight w:val="none"/>
        </w:rPr>
      </w:pPr>
    </w:p>
    <w:p>
      <w:pPr>
        <w:snapToGrid w:val="0"/>
        <w:spacing w:line="360" w:lineRule="auto"/>
        <w:rPr>
          <w:rFonts w:hint="eastAsia" w:ascii="仿宋_GB2312" w:hAnsi="仿宋_GB2312" w:eastAsia="仿宋_GB2312" w:cs="仿宋_GB2312"/>
          <w:b/>
          <w:color w:val="auto"/>
          <w:sz w:val="28"/>
          <w:szCs w:val="28"/>
          <w:highlight w:val="none"/>
        </w:rPr>
      </w:pPr>
      <w:r>
        <w:rPr>
          <w:rFonts w:hint="eastAsia" w:ascii="仿宋_GB2312" w:hAnsi="仿宋_GB2312" w:eastAsia="仿宋_GB2312" w:cs="仿宋_GB2312"/>
          <w:b/>
          <w:color w:val="auto"/>
          <w:sz w:val="28"/>
          <w:szCs w:val="28"/>
          <w:highlight w:val="none"/>
        </w:rPr>
        <w:t xml:space="preserve">时间： </w:t>
      </w:r>
    </w:p>
    <w:tbl>
      <w:tblPr>
        <w:tblStyle w:val="14"/>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59"/>
        <w:gridCol w:w="2835"/>
        <w:gridCol w:w="1704"/>
        <w:gridCol w:w="297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59" w:type="dxa"/>
            <w:noWrap w:val="0"/>
            <w:vAlign w:val="center"/>
          </w:tcPr>
          <w:p>
            <w:pPr>
              <w:snapToGrid w:val="0"/>
              <w:spacing w:line="360" w:lineRule="auto"/>
              <w:jc w:val="center"/>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序号</w:t>
            </w:r>
          </w:p>
        </w:tc>
        <w:tc>
          <w:tcPr>
            <w:tcW w:w="2835" w:type="dxa"/>
            <w:noWrap w:val="0"/>
            <w:vAlign w:val="center"/>
          </w:tcPr>
          <w:p>
            <w:pPr>
              <w:snapToGrid w:val="0"/>
              <w:spacing w:line="360" w:lineRule="auto"/>
              <w:jc w:val="center"/>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响应人</w:t>
            </w:r>
          </w:p>
        </w:tc>
        <w:tc>
          <w:tcPr>
            <w:tcW w:w="1704" w:type="dxa"/>
            <w:noWrap w:val="0"/>
            <w:vAlign w:val="center"/>
          </w:tcPr>
          <w:p>
            <w:pPr>
              <w:snapToGrid w:val="0"/>
              <w:spacing w:line="360" w:lineRule="auto"/>
              <w:jc w:val="center"/>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最终得分</w:t>
            </w:r>
          </w:p>
        </w:tc>
        <w:tc>
          <w:tcPr>
            <w:tcW w:w="2974" w:type="dxa"/>
            <w:noWrap w:val="0"/>
            <w:vAlign w:val="center"/>
          </w:tcPr>
          <w:p>
            <w:pPr>
              <w:snapToGrid w:val="0"/>
              <w:spacing w:line="360" w:lineRule="auto"/>
              <w:jc w:val="center"/>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4" w:hRule="atLeast"/>
        </w:trPr>
        <w:tc>
          <w:tcPr>
            <w:tcW w:w="959" w:type="dxa"/>
            <w:noWrap w:val="0"/>
            <w:vAlign w:val="center"/>
          </w:tcPr>
          <w:p>
            <w:pPr>
              <w:snapToGrid w:val="0"/>
              <w:spacing w:line="360" w:lineRule="auto"/>
              <w:jc w:val="center"/>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1</w:t>
            </w:r>
          </w:p>
        </w:tc>
        <w:tc>
          <w:tcPr>
            <w:tcW w:w="2835" w:type="dxa"/>
            <w:noWrap w:val="0"/>
            <w:vAlign w:val="center"/>
          </w:tcPr>
          <w:p>
            <w:pPr>
              <w:snapToGrid w:val="0"/>
              <w:spacing w:line="360" w:lineRule="auto"/>
              <w:jc w:val="center"/>
              <w:rPr>
                <w:rFonts w:hint="eastAsia" w:ascii="仿宋_GB2312" w:hAnsi="仿宋_GB2312" w:eastAsia="仿宋_GB2312" w:cs="仿宋_GB2312"/>
                <w:color w:val="auto"/>
                <w:kern w:val="0"/>
                <w:sz w:val="28"/>
                <w:szCs w:val="28"/>
                <w:highlight w:val="none"/>
              </w:rPr>
            </w:pPr>
          </w:p>
        </w:tc>
        <w:tc>
          <w:tcPr>
            <w:tcW w:w="1704" w:type="dxa"/>
            <w:noWrap w:val="0"/>
            <w:vAlign w:val="center"/>
          </w:tcPr>
          <w:p>
            <w:pPr>
              <w:snapToGrid w:val="0"/>
              <w:spacing w:line="360" w:lineRule="auto"/>
              <w:jc w:val="center"/>
              <w:rPr>
                <w:rFonts w:hint="eastAsia" w:ascii="仿宋_GB2312" w:hAnsi="仿宋_GB2312" w:eastAsia="仿宋_GB2312" w:cs="仿宋_GB2312"/>
                <w:color w:val="auto"/>
                <w:kern w:val="0"/>
                <w:sz w:val="28"/>
                <w:szCs w:val="28"/>
                <w:highlight w:val="none"/>
              </w:rPr>
            </w:pPr>
          </w:p>
        </w:tc>
        <w:tc>
          <w:tcPr>
            <w:tcW w:w="2974" w:type="dxa"/>
            <w:noWrap w:val="0"/>
            <w:vAlign w:val="center"/>
          </w:tcPr>
          <w:p>
            <w:pPr>
              <w:snapToGrid w:val="0"/>
              <w:spacing w:line="360" w:lineRule="auto"/>
              <w:jc w:val="center"/>
              <w:rPr>
                <w:rFonts w:hint="eastAsia" w:ascii="仿宋_GB2312" w:hAnsi="仿宋_GB2312" w:eastAsia="仿宋_GB2312" w:cs="仿宋_GB2312"/>
                <w:color w:val="auto"/>
                <w:kern w:val="0"/>
                <w:sz w:val="28"/>
                <w:szCs w:val="2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6" w:hRule="atLeast"/>
        </w:trPr>
        <w:tc>
          <w:tcPr>
            <w:tcW w:w="959" w:type="dxa"/>
            <w:noWrap w:val="0"/>
            <w:vAlign w:val="center"/>
          </w:tcPr>
          <w:p>
            <w:pPr>
              <w:snapToGrid w:val="0"/>
              <w:spacing w:line="360" w:lineRule="auto"/>
              <w:jc w:val="center"/>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2</w:t>
            </w:r>
          </w:p>
        </w:tc>
        <w:tc>
          <w:tcPr>
            <w:tcW w:w="2835" w:type="dxa"/>
            <w:noWrap w:val="0"/>
            <w:vAlign w:val="center"/>
          </w:tcPr>
          <w:p>
            <w:pPr>
              <w:snapToGrid w:val="0"/>
              <w:spacing w:line="360" w:lineRule="auto"/>
              <w:jc w:val="center"/>
              <w:rPr>
                <w:rFonts w:hint="eastAsia" w:ascii="仿宋_GB2312" w:hAnsi="仿宋_GB2312" w:eastAsia="仿宋_GB2312" w:cs="仿宋_GB2312"/>
                <w:color w:val="auto"/>
                <w:kern w:val="0"/>
                <w:sz w:val="28"/>
                <w:szCs w:val="28"/>
                <w:highlight w:val="none"/>
              </w:rPr>
            </w:pPr>
          </w:p>
        </w:tc>
        <w:tc>
          <w:tcPr>
            <w:tcW w:w="1704" w:type="dxa"/>
            <w:noWrap w:val="0"/>
            <w:vAlign w:val="center"/>
          </w:tcPr>
          <w:p>
            <w:pPr>
              <w:snapToGrid w:val="0"/>
              <w:spacing w:line="360" w:lineRule="auto"/>
              <w:jc w:val="center"/>
              <w:rPr>
                <w:rFonts w:hint="eastAsia" w:ascii="仿宋_GB2312" w:hAnsi="仿宋_GB2312" w:eastAsia="仿宋_GB2312" w:cs="仿宋_GB2312"/>
                <w:color w:val="auto"/>
                <w:kern w:val="0"/>
                <w:sz w:val="28"/>
                <w:szCs w:val="28"/>
                <w:highlight w:val="none"/>
              </w:rPr>
            </w:pPr>
          </w:p>
        </w:tc>
        <w:tc>
          <w:tcPr>
            <w:tcW w:w="2974" w:type="dxa"/>
            <w:noWrap w:val="0"/>
            <w:vAlign w:val="center"/>
          </w:tcPr>
          <w:p>
            <w:pPr>
              <w:snapToGrid w:val="0"/>
              <w:spacing w:line="360" w:lineRule="auto"/>
              <w:jc w:val="center"/>
              <w:rPr>
                <w:rFonts w:hint="eastAsia" w:ascii="仿宋_GB2312" w:hAnsi="仿宋_GB2312" w:eastAsia="仿宋_GB2312" w:cs="仿宋_GB2312"/>
                <w:color w:val="auto"/>
                <w:kern w:val="0"/>
                <w:sz w:val="28"/>
                <w:szCs w:val="2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3" w:hRule="atLeast"/>
        </w:trPr>
        <w:tc>
          <w:tcPr>
            <w:tcW w:w="959" w:type="dxa"/>
            <w:noWrap w:val="0"/>
            <w:vAlign w:val="center"/>
          </w:tcPr>
          <w:p>
            <w:pPr>
              <w:snapToGrid w:val="0"/>
              <w:spacing w:line="360" w:lineRule="auto"/>
              <w:jc w:val="center"/>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3</w:t>
            </w:r>
          </w:p>
        </w:tc>
        <w:tc>
          <w:tcPr>
            <w:tcW w:w="2835" w:type="dxa"/>
            <w:noWrap w:val="0"/>
            <w:vAlign w:val="center"/>
          </w:tcPr>
          <w:p>
            <w:pPr>
              <w:snapToGrid w:val="0"/>
              <w:spacing w:line="360" w:lineRule="auto"/>
              <w:jc w:val="center"/>
              <w:rPr>
                <w:rFonts w:hint="eastAsia" w:ascii="仿宋_GB2312" w:hAnsi="仿宋_GB2312" w:eastAsia="仿宋_GB2312" w:cs="仿宋_GB2312"/>
                <w:color w:val="auto"/>
                <w:kern w:val="0"/>
                <w:sz w:val="28"/>
                <w:szCs w:val="28"/>
                <w:highlight w:val="none"/>
              </w:rPr>
            </w:pPr>
          </w:p>
        </w:tc>
        <w:tc>
          <w:tcPr>
            <w:tcW w:w="1704" w:type="dxa"/>
            <w:noWrap w:val="0"/>
            <w:vAlign w:val="center"/>
          </w:tcPr>
          <w:p>
            <w:pPr>
              <w:snapToGrid w:val="0"/>
              <w:spacing w:line="360" w:lineRule="auto"/>
              <w:jc w:val="center"/>
              <w:rPr>
                <w:rFonts w:hint="eastAsia" w:ascii="仿宋_GB2312" w:hAnsi="仿宋_GB2312" w:eastAsia="仿宋_GB2312" w:cs="仿宋_GB2312"/>
                <w:color w:val="auto"/>
                <w:kern w:val="0"/>
                <w:sz w:val="28"/>
                <w:szCs w:val="28"/>
                <w:highlight w:val="none"/>
              </w:rPr>
            </w:pPr>
          </w:p>
        </w:tc>
        <w:tc>
          <w:tcPr>
            <w:tcW w:w="2974" w:type="dxa"/>
            <w:noWrap w:val="0"/>
            <w:vAlign w:val="center"/>
          </w:tcPr>
          <w:p>
            <w:pPr>
              <w:snapToGrid w:val="0"/>
              <w:spacing w:line="360" w:lineRule="auto"/>
              <w:jc w:val="center"/>
              <w:rPr>
                <w:rFonts w:hint="eastAsia" w:ascii="仿宋_GB2312" w:hAnsi="仿宋_GB2312" w:eastAsia="仿宋_GB2312" w:cs="仿宋_GB2312"/>
                <w:color w:val="auto"/>
                <w:kern w:val="0"/>
                <w:sz w:val="28"/>
                <w:szCs w:val="2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8" w:hRule="atLeast"/>
        </w:trPr>
        <w:tc>
          <w:tcPr>
            <w:tcW w:w="959" w:type="dxa"/>
            <w:noWrap w:val="0"/>
            <w:vAlign w:val="center"/>
          </w:tcPr>
          <w:p>
            <w:pPr>
              <w:snapToGrid w:val="0"/>
              <w:spacing w:line="360" w:lineRule="auto"/>
              <w:jc w:val="center"/>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4</w:t>
            </w:r>
          </w:p>
        </w:tc>
        <w:tc>
          <w:tcPr>
            <w:tcW w:w="2835" w:type="dxa"/>
            <w:noWrap w:val="0"/>
            <w:vAlign w:val="center"/>
          </w:tcPr>
          <w:p>
            <w:pPr>
              <w:snapToGrid w:val="0"/>
              <w:spacing w:line="360" w:lineRule="auto"/>
              <w:jc w:val="center"/>
              <w:rPr>
                <w:rFonts w:hint="eastAsia" w:ascii="仿宋_GB2312" w:hAnsi="仿宋_GB2312" w:eastAsia="仿宋_GB2312" w:cs="仿宋_GB2312"/>
                <w:color w:val="auto"/>
                <w:kern w:val="0"/>
                <w:sz w:val="28"/>
                <w:szCs w:val="28"/>
                <w:highlight w:val="none"/>
              </w:rPr>
            </w:pPr>
          </w:p>
        </w:tc>
        <w:tc>
          <w:tcPr>
            <w:tcW w:w="1704" w:type="dxa"/>
            <w:noWrap w:val="0"/>
            <w:vAlign w:val="center"/>
          </w:tcPr>
          <w:p>
            <w:pPr>
              <w:snapToGrid w:val="0"/>
              <w:spacing w:line="360" w:lineRule="auto"/>
              <w:jc w:val="center"/>
              <w:rPr>
                <w:rFonts w:hint="eastAsia" w:ascii="仿宋_GB2312" w:hAnsi="仿宋_GB2312" w:eastAsia="仿宋_GB2312" w:cs="仿宋_GB2312"/>
                <w:color w:val="auto"/>
                <w:kern w:val="0"/>
                <w:sz w:val="28"/>
                <w:szCs w:val="28"/>
                <w:highlight w:val="none"/>
              </w:rPr>
            </w:pPr>
          </w:p>
        </w:tc>
        <w:tc>
          <w:tcPr>
            <w:tcW w:w="2974" w:type="dxa"/>
            <w:noWrap w:val="0"/>
            <w:vAlign w:val="center"/>
          </w:tcPr>
          <w:p>
            <w:pPr>
              <w:snapToGrid w:val="0"/>
              <w:spacing w:line="360" w:lineRule="auto"/>
              <w:jc w:val="center"/>
              <w:rPr>
                <w:rFonts w:hint="eastAsia" w:ascii="仿宋_GB2312" w:hAnsi="仿宋_GB2312" w:eastAsia="仿宋_GB2312" w:cs="仿宋_GB2312"/>
                <w:color w:val="auto"/>
                <w:kern w:val="0"/>
                <w:sz w:val="28"/>
                <w:szCs w:val="28"/>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4" w:hRule="atLeast"/>
        </w:trPr>
        <w:tc>
          <w:tcPr>
            <w:tcW w:w="959" w:type="dxa"/>
            <w:noWrap w:val="0"/>
            <w:vAlign w:val="center"/>
          </w:tcPr>
          <w:p>
            <w:pPr>
              <w:snapToGrid w:val="0"/>
              <w:spacing w:line="360" w:lineRule="auto"/>
              <w:jc w:val="center"/>
              <w:rPr>
                <w:rFonts w:hint="eastAsia" w:ascii="仿宋_GB2312" w:hAnsi="仿宋_GB2312" w:eastAsia="仿宋_GB2312" w:cs="仿宋_GB2312"/>
                <w:color w:val="auto"/>
                <w:kern w:val="0"/>
                <w:sz w:val="28"/>
                <w:szCs w:val="28"/>
                <w:highlight w:val="none"/>
              </w:rPr>
            </w:pPr>
            <w:r>
              <w:rPr>
                <w:rFonts w:hint="eastAsia" w:ascii="仿宋_GB2312" w:hAnsi="仿宋_GB2312" w:eastAsia="仿宋_GB2312" w:cs="仿宋_GB2312"/>
                <w:color w:val="auto"/>
                <w:kern w:val="0"/>
                <w:sz w:val="28"/>
                <w:szCs w:val="28"/>
                <w:highlight w:val="none"/>
              </w:rPr>
              <w:t>5</w:t>
            </w:r>
          </w:p>
        </w:tc>
        <w:tc>
          <w:tcPr>
            <w:tcW w:w="2835" w:type="dxa"/>
            <w:noWrap w:val="0"/>
            <w:vAlign w:val="center"/>
          </w:tcPr>
          <w:p>
            <w:pPr>
              <w:snapToGrid w:val="0"/>
              <w:spacing w:line="360" w:lineRule="auto"/>
              <w:jc w:val="center"/>
              <w:rPr>
                <w:rFonts w:hint="eastAsia" w:ascii="仿宋_GB2312" w:hAnsi="仿宋_GB2312" w:eastAsia="仿宋_GB2312" w:cs="仿宋_GB2312"/>
                <w:color w:val="auto"/>
                <w:kern w:val="0"/>
                <w:sz w:val="28"/>
                <w:szCs w:val="28"/>
                <w:highlight w:val="none"/>
              </w:rPr>
            </w:pPr>
          </w:p>
        </w:tc>
        <w:tc>
          <w:tcPr>
            <w:tcW w:w="1704" w:type="dxa"/>
            <w:noWrap w:val="0"/>
            <w:vAlign w:val="center"/>
          </w:tcPr>
          <w:p>
            <w:pPr>
              <w:snapToGrid w:val="0"/>
              <w:spacing w:line="360" w:lineRule="auto"/>
              <w:jc w:val="center"/>
              <w:rPr>
                <w:rFonts w:hint="eastAsia" w:ascii="仿宋_GB2312" w:hAnsi="仿宋_GB2312" w:eastAsia="仿宋_GB2312" w:cs="仿宋_GB2312"/>
                <w:color w:val="auto"/>
                <w:kern w:val="0"/>
                <w:sz w:val="28"/>
                <w:szCs w:val="28"/>
                <w:highlight w:val="none"/>
              </w:rPr>
            </w:pPr>
          </w:p>
        </w:tc>
        <w:tc>
          <w:tcPr>
            <w:tcW w:w="2974" w:type="dxa"/>
            <w:noWrap w:val="0"/>
            <w:vAlign w:val="center"/>
          </w:tcPr>
          <w:p>
            <w:pPr>
              <w:snapToGrid w:val="0"/>
              <w:spacing w:line="360" w:lineRule="auto"/>
              <w:jc w:val="center"/>
              <w:rPr>
                <w:rFonts w:hint="eastAsia" w:ascii="仿宋_GB2312" w:hAnsi="仿宋_GB2312" w:eastAsia="仿宋_GB2312" w:cs="仿宋_GB2312"/>
                <w:color w:val="auto"/>
                <w:kern w:val="0"/>
                <w:sz w:val="28"/>
                <w:szCs w:val="28"/>
                <w:highlight w:val="none"/>
              </w:rPr>
            </w:pPr>
          </w:p>
        </w:tc>
      </w:tr>
    </w:tbl>
    <w:p>
      <w:pPr>
        <w:snapToGrid w:val="0"/>
        <w:spacing w:line="360" w:lineRule="auto"/>
        <w:rPr>
          <w:rFonts w:hint="eastAsia" w:ascii="仿宋_GB2312" w:hAnsi="仿宋_GB2312" w:eastAsia="仿宋_GB2312" w:cs="仿宋_GB2312"/>
          <w:b/>
          <w:color w:val="auto"/>
          <w:sz w:val="28"/>
          <w:szCs w:val="28"/>
          <w:highlight w:val="none"/>
        </w:rPr>
      </w:pPr>
      <w:r>
        <w:rPr>
          <w:rFonts w:hint="eastAsia" w:ascii="仿宋_GB2312" w:hAnsi="仿宋_GB2312" w:eastAsia="仿宋_GB2312" w:cs="仿宋_GB2312"/>
          <w:b/>
          <w:color w:val="auto"/>
          <w:sz w:val="28"/>
          <w:szCs w:val="28"/>
          <w:highlight w:val="none"/>
        </w:rPr>
        <w:t xml:space="preserve">时间： </w:t>
      </w:r>
    </w:p>
    <w:p>
      <w:pPr>
        <w:snapToGrid w:val="0"/>
        <w:spacing w:line="360" w:lineRule="auto"/>
        <w:rPr>
          <w:rFonts w:hint="eastAsia" w:ascii="仿宋_GB2312" w:hAnsi="仿宋_GB2312" w:eastAsia="仿宋_GB2312" w:cs="仿宋_GB2312"/>
          <w:b/>
          <w:color w:val="auto"/>
          <w:sz w:val="28"/>
          <w:szCs w:val="28"/>
          <w:highlight w:val="none"/>
        </w:rPr>
      </w:pPr>
    </w:p>
    <w:p>
      <w:pPr>
        <w:snapToGrid w:val="0"/>
        <w:spacing w:line="360" w:lineRule="auto"/>
        <w:rPr>
          <w:rFonts w:hint="eastAsia" w:ascii="仿宋_GB2312" w:hAnsi="仿宋_GB2312" w:eastAsia="仿宋_GB2312" w:cs="仿宋_GB2312"/>
          <w:b/>
          <w:color w:val="auto"/>
          <w:kern w:val="0"/>
          <w:sz w:val="28"/>
          <w:szCs w:val="28"/>
          <w:highlight w:val="none"/>
        </w:rPr>
      </w:pPr>
      <w:r>
        <w:rPr>
          <w:rFonts w:hint="eastAsia" w:ascii="仿宋_GB2312" w:hAnsi="仿宋_GB2312" w:eastAsia="仿宋_GB2312" w:cs="仿宋_GB2312"/>
          <w:b/>
          <w:color w:val="auto"/>
          <w:kern w:val="0"/>
          <w:sz w:val="28"/>
          <w:szCs w:val="28"/>
          <w:highlight w:val="none"/>
        </w:rPr>
        <w:t>评审小组成员签名：</w:t>
      </w:r>
    </w:p>
    <w:p>
      <w:pPr>
        <w:snapToGrid w:val="0"/>
        <w:spacing w:before="156" w:beforeLines="50" w:after="156" w:afterLines="50" w:line="360" w:lineRule="auto"/>
        <w:ind w:firstLine="360" w:firstLineChars="150"/>
        <w:rPr>
          <w:rFonts w:hint="eastAsia"/>
          <w:color w:val="auto"/>
          <w:sz w:val="24"/>
          <w:highlight w:val="none"/>
        </w:rPr>
      </w:pPr>
    </w:p>
    <w:p>
      <w:pPr>
        <w:snapToGrid w:val="0"/>
        <w:spacing w:before="156" w:beforeLines="50" w:after="156" w:afterLines="50" w:line="360" w:lineRule="auto"/>
        <w:ind w:firstLine="360" w:firstLineChars="150"/>
        <w:rPr>
          <w:rFonts w:hint="eastAsia"/>
          <w:color w:val="auto"/>
          <w:sz w:val="24"/>
          <w:highlight w:val="none"/>
        </w:rPr>
      </w:pPr>
    </w:p>
    <w:p>
      <w:pPr>
        <w:snapToGrid w:val="0"/>
        <w:spacing w:before="156" w:beforeLines="50" w:after="156" w:afterLines="50" w:line="360" w:lineRule="auto"/>
        <w:ind w:firstLine="360" w:firstLineChars="150"/>
        <w:rPr>
          <w:rFonts w:hint="eastAsia"/>
          <w:color w:val="auto"/>
          <w:sz w:val="24"/>
          <w:highlight w:val="none"/>
        </w:rPr>
      </w:pPr>
    </w:p>
    <w:p>
      <w:pPr>
        <w:snapToGrid w:val="0"/>
        <w:spacing w:before="156" w:beforeLines="50" w:after="156" w:afterLines="50" w:line="360" w:lineRule="auto"/>
        <w:ind w:firstLine="360" w:firstLineChars="150"/>
        <w:rPr>
          <w:rFonts w:hint="eastAsia"/>
          <w:color w:val="auto"/>
          <w:sz w:val="24"/>
          <w:highlight w:val="none"/>
        </w:rPr>
      </w:pPr>
    </w:p>
    <w:p>
      <w:pPr>
        <w:snapToGrid w:val="0"/>
        <w:spacing w:before="156" w:beforeLines="50" w:after="156" w:afterLines="50" w:line="360" w:lineRule="auto"/>
        <w:ind w:firstLine="360" w:firstLineChars="150"/>
        <w:rPr>
          <w:rFonts w:hint="eastAsia"/>
          <w:color w:val="auto"/>
          <w:sz w:val="24"/>
          <w:highlight w:val="none"/>
        </w:rPr>
      </w:pPr>
    </w:p>
    <w:p>
      <w:pPr>
        <w:snapToGrid w:val="0"/>
        <w:spacing w:line="580" w:lineRule="exact"/>
        <w:rPr>
          <w:rFonts w:ascii="宋体"/>
          <w:color w:val="auto"/>
          <w:sz w:val="24"/>
          <w:highlight w:val="none"/>
        </w:rPr>
      </w:pPr>
    </w:p>
    <w:p>
      <w:pPr>
        <w:pStyle w:val="2"/>
        <w:spacing w:line="580" w:lineRule="exact"/>
        <w:ind w:left="1598" w:leftChars="304" w:hanging="960" w:hangingChars="300"/>
        <w:rPr>
          <w:rFonts w:hint="eastAsia" w:ascii="仿宋_GB2312" w:hAnsi="仿宋_GB2312" w:eastAsia="仿宋_GB2312" w:cs="仿宋_GB2312"/>
          <w:color w:val="auto"/>
          <w:sz w:val="32"/>
          <w:szCs w:val="32"/>
        </w:rPr>
      </w:pPr>
    </w:p>
    <w:p/>
    <w:sectPr>
      <w:footerReference r:id="rId5" w:type="default"/>
      <w:footerReference r:id="rId6" w:type="even"/>
      <w:pgSz w:w="11906" w:h="16838"/>
      <w:pgMar w:top="1440" w:right="1800" w:bottom="1440" w:left="1800"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6"/>
      </w:rPr>
    </w:pPr>
    <w:r>
      <w:fldChar w:fldCharType="begin"/>
    </w:r>
    <w:r>
      <w:rPr>
        <w:rStyle w:val="16"/>
      </w:rPr>
      <w:instrText xml:space="preserve">PAGE  </w:instrText>
    </w:r>
    <w:r>
      <w:fldChar w:fldCharType="separate"/>
    </w:r>
    <w:r>
      <w:rPr>
        <w:rStyle w:val="16"/>
      </w:rPr>
      <w:t>16</w:t>
    </w:r>
    <w:r>
      <w:fldChar w:fldCharType="end"/>
    </w:r>
  </w:p>
  <w:p>
    <w:pPr>
      <w:pStyle w:val="9"/>
      <w:jc w:val="center"/>
      <w:rPr>
        <w:rFonts w:hint="eastAsia"/>
      </w:rPr>
    </w:pPr>
  </w:p>
  <w:p>
    <w:pPr>
      <w:pStyle w:val="9"/>
      <w:rPr>
        <w:rFonts w:hint="eastAsia"/>
        <w:szCs w:val="21"/>
      </w:rPr>
    </w:pPr>
  </w:p>
  <w:p>
    <w:pPr>
      <w:pStyle w:val="9"/>
      <w:rPr>
        <w:rFonts w:hint="eastAsia"/>
        <w:szCs w:val="21"/>
      </w:rPr>
    </w:pPr>
  </w:p>
  <w:p>
    <w:pPr>
      <w:pStyle w:val="9"/>
      <w:rPr>
        <w:rFonts w:hint="eastAsia"/>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rFonts w:hint="eastAsia"/>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right"/>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9"/>
                            <w:jc w:val="right"/>
                          </w:pPr>
                          <w:r>
                            <w:fldChar w:fldCharType="begin"/>
                          </w:r>
                          <w:r>
                            <w:instrText xml:space="preserve"> PAGE   \* MERGEFORMAT </w:instrText>
                          </w:r>
                          <w:r>
                            <w:fldChar w:fldCharType="separate"/>
                          </w:r>
                          <w:r>
                            <w:rPr>
                              <w:lang w:val="zh-CN"/>
                            </w:rPr>
                            <w:t>11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9"/>
                      <w:jc w:val="right"/>
                    </w:pPr>
                    <w:r>
                      <w:fldChar w:fldCharType="begin"/>
                    </w:r>
                    <w:r>
                      <w:instrText xml:space="preserve"> PAGE   \* MERGEFORMAT </w:instrText>
                    </w:r>
                    <w:r>
                      <w:fldChar w:fldCharType="separate"/>
                    </w:r>
                    <w:r>
                      <w:rPr>
                        <w:lang w:val="zh-CN"/>
                      </w:rPr>
                      <w:t>11</w:t>
                    </w:r>
                    <w:r>
                      <w:fldChar w:fldCharType="end"/>
                    </w:r>
                  </w:p>
                </w:txbxContent>
              </v:textbox>
            </v:shape>
          </w:pict>
        </mc:Fallback>
      </mc:AlternateContent>
    </w:r>
  </w:p>
  <w:p>
    <w:pPr>
      <w:pStyle w:val="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fldChar w:fldCharType="begin"/>
    </w:r>
    <w:r>
      <w:instrText xml:space="preserve"> PAGE   \* MERGEFORMAT </w:instrText>
    </w:r>
    <w:r>
      <w:fldChar w:fldCharType="separate"/>
    </w:r>
    <w:r>
      <w:rPr>
        <w:lang w:val="zh-CN"/>
      </w:rPr>
      <w:t>10</w:t>
    </w:r>
    <w:r>
      <w:fldChar w:fldCharType="end"/>
    </w:r>
  </w:p>
  <w:p>
    <w:pPr>
      <w:pStyle w:val="9"/>
    </w:pP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佘质斌">
    <w15:presenceInfo w15:providerId="None" w15:userId="佘质斌"/>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A774EA"/>
    <w:rsid w:val="17B906CA"/>
    <w:rsid w:val="4FB10F68"/>
    <w:rsid w:val="76031147"/>
    <w:rsid w:val="7EA774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keepNext/>
      <w:widowControl w:val="0"/>
      <w:adjustRightInd w:val="0"/>
      <w:spacing w:before="360" w:after="120" w:line="360" w:lineRule="auto"/>
      <w:ind w:firstLine="567"/>
      <w:outlineLvl w:val="0"/>
    </w:pPr>
    <w:rPr>
      <w:b/>
      <w:kern w:val="44"/>
      <w:sz w:val="32"/>
      <w:szCs w:val="20"/>
    </w:rPr>
  </w:style>
  <w:style w:type="paragraph" w:styleId="4">
    <w:name w:val="heading 2"/>
    <w:basedOn w:val="1"/>
    <w:next w:val="1"/>
    <w:qFormat/>
    <w:uiPriority w:val="0"/>
    <w:pPr>
      <w:keepNext/>
      <w:widowControl w:val="0"/>
      <w:spacing w:line="560" w:lineRule="exact"/>
      <w:ind w:firstLine="100" w:firstLineChars="100"/>
      <w:jc w:val="center"/>
      <w:outlineLvl w:val="1"/>
    </w:pPr>
    <w:rPr>
      <w:rFonts w:ascii="宋体"/>
      <w:sz w:val="30"/>
      <w:szCs w:val="20"/>
    </w:rPr>
  </w:style>
  <w:style w:type="paragraph" w:styleId="5">
    <w:name w:val="heading 3"/>
    <w:basedOn w:val="1"/>
    <w:next w:val="1"/>
    <w:qFormat/>
    <w:uiPriority w:val="0"/>
    <w:pPr>
      <w:keepNext/>
      <w:keepLines/>
      <w:widowControl w:val="0"/>
      <w:spacing w:before="260" w:after="260" w:line="415" w:lineRule="auto"/>
      <w:outlineLvl w:val="2"/>
    </w:pPr>
    <w:rPr>
      <w:b/>
      <w:bCs/>
      <w:sz w:val="32"/>
      <w:szCs w:val="32"/>
    </w:rPr>
  </w:style>
  <w:style w:type="character" w:default="1" w:styleId="15">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tabs>
        <w:tab w:val="left" w:pos="1500"/>
      </w:tabs>
      <w:spacing w:line="360" w:lineRule="auto"/>
    </w:pPr>
    <w:rPr>
      <w:rFonts w:ascii="宋体" w:hAnsi="宋体"/>
      <w:sz w:val="24"/>
    </w:rPr>
  </w:style>
  <w:style w:type="paragraph" w:styleId="6">
    <w:name w:val="toc 3"/>
    <w:basedOn w:val="1"/>
    <w:next w:val="1"/>
    <w:qFormat/>
    <w:uiPriority w:val="39"/>
    <w:pPr>
      <w:ind w:left="100" w:leftChars="100" w:right="100" w:rightChars="100"/>
      <w:jc w:val="left"/>
    </w:pPr>
    <w:rPr>
      <w:rFonts w:ascii="Calibri" w:hAnsi="Calibri" w:cs="Calibri"/>
      <w:b/>
      <w:iCs/>
      <w:sz w:val="20"/>
      <w:szCs w:val="20"/>
      <w:lang w:bidi="ar-SA"/>
    </w:rPr>
  </w:style>
  <w:style w:type="paragraph" w:styleId="7">
    <w:name w:val="Plain Text"/>
    <w:basedOn w:val="1"/>
    <w:qFormat/>
    <w:uiPriority w:val="0"/>
    <w:rPr>
      <w:rFonts w:ascii="宋体"/>
      <w:szCs w:val="20"/>
    </w:rPr>
  </w:style>
  <w:style w:type="paragraph" w:styleId="8">
    <w:name w:val="Date"/>
    <w:basedOn w:val="1"/>
    <w:next w:val="1"/>
    <w:qFormat/>
    <w:uiPriority w:val="0"/>
    <w:pPr>
      <w:autoSpaceDE w:val="0"/>
      <w:autoSpaceDN w:val="0"/>
      <w:adjustRightInd w:val="0"/>
      <w:spacing w:line="312" w:lineRule="atLeast"/>
      <w:textAlignment w:val="baseline"/>
    </w:pPr>
    <w:rPr>
      <w:kern w:val="0"/>
      <w:sz w:val="32"/>
      <w:szCs w:val="20"/>
    </w:rPr>
  </w:style>
  <w:style w:type="paragraph" w:styleId="9">
    <w:name w:val="footer"/>
    <w:basedOn w:val="1"/>
    <w:qFormat/>
    <w:uiPriority w:val="99"/>
    <w:pPr>
      <w:tabs>
        <w:tab w:val="center" w:pos="4153"/>
        <w:tab w:val="right" w:pos="8306"/>
      </w:tabs>
      <w:snapToGrid w:val="0"/>
      <w:jc w:val="left"/>
    </w:pPr>
    <w:rPr>
      <w:sz w:val="18"/>
      <w:szCs w:val="18"/>
    </w:rPr>
  </w:style>
  <w:style w:type="paragraph" w:styleId="10">
    <w:name w:val="toc 1"/>
    <w:basedOn w:val="1"/>
    <w:next w:val="1"/>
    <w:qFormat/>
    <w:uiPriority w:val="39"/>
    <w:pPr>
      <w:tabs>
        <w:tab w:val="right" w:leader="dot" w:pos="8647"/>
      </w:tabs>
      <w:spacing w:before="120" w:after="120"/>
      <w:ind w:left="100" w:leftChars="100" w:right="100" w:rightChars="100" w:firstLine="75" w:firstLineChars="75"/>
      <w:jc w:val="left"/>
    </w:pPr>
    <w:rPr>
      <w:rFonts w:ascii="Calibri" w:hAnsi="Calibri" w:cs="Calibri"/>
      <w:b/>
      <w:bCs/>
      <w:caps/>
      <w:sz w:val="20"/>
      <w:szCs w:val="20"/>
      <w:lang w:bidi="ar-SA"/>
    </w:rPr>
  </w:style>
  <w:style w:type="paragraph" w:styleId="11">
    <w:name w:val="toc 4"/>
    <w:basedOn w:val="1"/>
    <w:next w:val="1"/>
    <w:qFormat/>
    <w:uiPriority w:val="39"/>
    <w:pPr>
      <w:ind w:left="100" w:leftChars="100" w:right="100" w:rightChars="100"/>
      <w:jc w:val="left"/>
    </w:pPr>
    <w:rPr>
      <w:b/>
      <w:sz w:val="20"/>
    </w:rPr>
  </w:style>
  <w:style w:type="paragraph" w:styleId="12">
    <w:name w:val="toc 2"/>
    <w:basedOn w:val="1"/>
    <w:next w:val="1"/>
    <w:qFormat/>
    <w:uiPriority w:val="39"/>
    <w:pPr>
      <w:tabs>
        <w:tab w:val="right" w:leader="dot" w:pos="8296"/>
      </w:tabs>
      <w:ind w:left="100" w:leftChars="100" w:right="100" w:rightChars="100" w:firstLine="62" w:firstLineChars="62"/>
      <w:jc w:val="left"/>
    </w:pPr>
    <w:rPr>
      <w:rFonts w:ascii="Calibri" w:hAnsi="Calibri" w:cs="Calibri"/>
      <w:b/>
      <w:smallCaps/>
      <w:sz w:val="20"/>
      <w:szCs w:val="20"/>
      <w:lang w:bidi="ar-SA"/>
    </w:rPr>
  </w:style>
  <w:style w:type="paragraph" w:styleId="13">
    <w:name w:val="Title"/>
    <w:basedOn w:val="1"/>
    <w:qFormat/>
    <w:uiPriority w:val="0"/>
    <w:pPr>
      <w:jc w:val="center"/>
    </w:pPr>
    <w:rPr>
      <w:b/>
      <w:bCs/>
      <w:sz w:val="30"/>
    </w:rPr>
  </w:style>
  <w:style w:type="character" w:styleId="16">
    <w:name w:val="page number"/>
    <w:basedOn w:val="15"/>
    <w:qFormat/>
    <w:uiPriority w:val="0"/>
  </w:style>
  <w:style w:type="character" w:styleId="17">
    <w:name w:val="Hyperlink"/>
    <w:qFormat/>
    <w:uiPriority w:val="99"/>
    <w:rPr>
      <w:color w:val="0000FF"/>
      <w:u w:val="single"/>
    </w:rPr>
  </w:style>
  <w:style w:type="paragraph" w:styleId="18">
    <w:name w:val="List Paragraph"/>
    <w:basedOn w:val="1"/>
    <w:qFormat/>
    <w:uiPriority w:val="0"/>
    <w:pPr>
      <w:ind w:firstLine="200" w:firstLineChars="200"/>
    </w:pPr>
  </w:style>
  <w:style w:type="character" w:customStyle="1" w:styleId="19">
    <w:name w:val="bjh-p"/>
    <w:basedOn w:val="15"/>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2021-09-18T03:45:00Z</dcterms:created>
  <dc:creator>周海英</dc:creator>
  <cp:lastModifiedBy>周海英</cp:lastModifiedBy>
  <dcterms:modified xsi:type="dcterms:W3CDTF">2021-09-22T09:26:20Z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52536F792E654AF48427C59B896DED4A</vt:lpwstr>
  </property>
</Properties>
</file>