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96" w:hangingChars="650"/>
        <w:jc w:val="left"/>
        <w:rPr>
          <w:rFonts w:ascii="宋体" w:hAnsi="宋体"/>
          <w:b/>
          <w:sz w:val="32"/>
          <w:szCs w:val="32"/>
          <w:u w:val="single"/>
        </w:rPr>
      </w:pPr>
      <w:r>
        <w:rPr>
          <w:rFonts w:hint="eastAsia" w:ascii="宋体" w:hAnsi="宋体"/>
          <w:b/>
          <w:sz w:val="32"/>
          <w:szCs w:val="32"/>
        </w:rPr>
        <w:t>采购项目名称：</w:t>
      </w:r>
      <w:r>
        <w:rPr>
          <w:rFonts w:hint="eastAsia" w:ascii="宋体" w:hAnsi="宋体"/>
          <w:b/>
          <w:sz w:val="32"/>
          <w:szCs w:val="32"/>
          <w:u w:val="single"/>
        </w:rPr>
        <w:t>2021年度排水井盖设施维护及潜水员水下作业项目</w:t>
      </w:r>
    </w:p>
    <w:p>
      <w:pPr>
        <w:ind w:left="2038" w:leftChars="1035" w:firstLine="154" w:firstLineChars="50"/>
        <w:jc w:val="left"/>
        <w:rPr>
          <w:rFonts w:ascii="宋体" w:hAnsi="宋体"/>
          <w:b/>
          <w:sz w:val="32"/>
          <w:szCs w:val="32"/>
        </w:rPr>
      </w:pPr>
      <w:r>
        <w:rPr>
          <w:rFonts w:hint="eastAsia" w:ascii="宋体" w:hAnsi="宋体"/>
          <w:b/>
          <w:sz w:val="32"/>
          <w:szCs w:val="32"/>
          <w:u w:val="single"/>
          <w:lang w:eastAsia="zh-CN"/>
        </w:rPr>
        <w:t>安全用品</w:t>
      </w:r>
      <w:r>
        <w:rPr>
          <w:rFonts w:ascii="宋体" w:hAnsi="宋体"/>
          <w:b/>
          <w:sz w:val="32"/>
          <w:szCs w:val="32"/>
          <w:u w:val="single"/>
        </w:rPr>
        <w:t>采购</w:t>
      </w:r>
      <w:r>
        <w:rPr>
          <w:rFonts w:hint="eastAsia" w:ascii="宋体" w:hAnsi="宋体"/>
          <w:b/>
          <w:sz w:val="32"/>
          <w:szCs w:val="32"/>
          <w:u w:val="single"/>
        </w:rPr>
        <w:t>项目</w:t>
      </w:r>
    </w:p>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8</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1" w:leftChars="92" w:right="159" w:rightChars="81" w:firstLine="18" w:firstLineChars="8"/>
              <w:jc w:val="left"/>
              <w:rPr>
                <w:rFonts w:ascii="宋体" w:hAnsi="宋体" w:cs="仿宋"/>
                <w:sz w:val="24"/>
              </w:rPr>
            </w:pPr>
            <w:r>
              <w:rPr>
                <w:rFonts w:hint="eastAsia" w:ascii="宋体" w:hAnsi="宋体"/>
                <w:sz w:val="24"/>
              </w:rPr>
              <w:t>2021年度排水井盖设施维护及潜水员水下作业项目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cs="仿宋"/>
                <w:sz w:val="24"/>
              </w:rPr>
              <w:t>广州市城市排水有限公司（含分公司）业务范围内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rPr>
              <w:t>广州市城市排水有限公司（含分公司）业务范围内组织实施的排水井盖设施更换和潜水员水下作业服务（含摸查、封堵、拆除、清疏、管道修补及其它未知因素的潜水作业）</w:t>
            </w:r>
            <w:r>
              <w:rPr>
                <w:rFonts w:hint="eastAsia" w:ascii="宋体" w:hAnsi="宋体" w:cs="宋体"/>
                <w:sz w:val="24"/>
              </w:rPr>
              <w:t>。</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安全用品</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新宋体" w:hAnsi="新宋体" w:eastAsia="新宋体" w:cs="新宋体"/>
                <w:sz w:val="24"/>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eastAsia="宋体" w:cs="宋体"/>
                <w:color w:val="auto"/>
                <w:sz w:val="24"/>
                <w:szCs w:val="24"/>
                <w:lang w:eastAsia="zh-CN"/>
              </w:rPr>
              <w:t>本次采购内容</w:t>
            </w:r>
            <w:r>
              <w:rPr>
                <w:rFonts w:hint="eastAsia" w:ascii="宋体" w:hAnsi="宋体" w:cs="仿宋"/>
                <w:color w:val="auto"/>
                <w:sz w:val="24"/>
              </w:rPr>
              <w:t>批发及</w:t>
            </w:r>
            <w:r>
              <w:rPr>
                <w:rFonts w:ascii="宋体" w:hAnsi="宋体" w:cs="仿宋"/>
                <w:color w:val="auto"/>
                <w:sz w:val="24"/>
              </w:rPr>
              <w:t>零售</w:t>
            </w:r>
            <w:r>
              <w:rPr>
                <w:rFonts w:hint="eastAsia" w:ascii="宋体" w:hAnsi="宋体" w:cs="仿宋"/>
                <w:sz w:val="24"/>
              </w:rPr>
              <w:t>。法定代表人为同一人或者存在控股、管理关系的不同单位，不得同时参与本采购项目；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4、提供近</w:t>
            </w:r>
            <w:r>
              <w:rPr>
                <w:rFonts w:hint="eastAsia" w:ascii="宋体" w:hAnsi="宋体" w:cs="仿宋"/>
                <w:sz w:val="24"/>
                <w:lang w:val="en-US" w:eastAsia="zh-CN"/>
              </w:rPr>
              <w:t>3</w:t>
            </w:r>
            <w:r>
              <w:rPr>
                <w:rFonts w:hint="eastAsia" w:ascii="宋体" w:hAnsi="宋体" w:cs="仿宋"/>
                <w:sz w:val="24"/>
              </w:rPr>
              <w:t>年内（2019年1月1日至今）</w:t>
            </w:r>
            <w:r>
              <w:rPr>
                <w:rFonts w:hint="eastAsia" w:ascii="宋体" w:hAnsi="宋体" w:cs="仿宋"/>
                <w:sz w:val="24"/>
                <w:lang w:eastAsia="zh-CN"/>
              </w:rPr>
              <w:t>不少于</w:t>
            </w:r>
            <w:r>
              <w:rPr>
                <w:rFonts w:hint="eastAsia" w:ascii="宋体" w:hAnsi="宋体" w:cs="仿宋"/>
                <w:sz w:val="24"/>
                <w:lang w:val="en-US" w:eastAsia="zh-CN"/>
              </w:rPr>
              <w:t>2</w:t>
            </w:r>
            <w:r>
              <w:rPr>
                <w:rFonts w:hint="eastAsia" w:ascii="宋体" w:hAnsi="宋体" w:cs="仿宋"/>
                <w:sz w:val="24"/>
                <w:lang w:eastAsia="zh-CN"/>
              </w:rPr>
              <w:t>项</w:t>
            </w:r>
            <w:r>
              <w:rPr>
                <w:rFonts w:hint="eastAsia" w:ascii="宋体" w:hAnsi="宋体" w:eastAsia="宋体" w:cs="宋体"/>
                <w:color w:val="auto"/>
                <w:sz w:val="24"/>
                <w:szCs w:val="24"/>
                <w:lang w:eastAsia="zh-CN"/>
              </w:rPr>
              <w:t>本次采购内容</w:t>
            </w:r>
            <w:r>
              <w:rPr>
                <w:rFonts w:hint="eastAsia" w:ascii="宋体" w:hAnsi="宋体" w:cs="仿宋"/>
                <w:color w:val="auto"/>
                <w:sz w:val="24"/>
              </w:rPr>
              <w:t>相关</w:t>
            </w:r>
            <w:r>
              <w:rPr>
                <w:rFonts w:hint="eastAsia" w:ascii="宋体" w:hAnsi="宋体" w:cs="仿宋"/>
                <w:color w:val="auto"/>
                <w:sz w:val="24"/>
                <w:lang w:eastAsia="zh-CN"/>
              </w:rPr>
              <w:t>的</w:t>
            </w:r>
            <w:r>
              <w:rPr>
                <w:rFonts w:hint="eastAsia" w:ascii="宋体" w:hAnsi="宋体" w:cs="仿宋"/>
                <w:color w:val="auto"/>
                <w:sz w:val="24"/>
              </w:rPr>
              <w:t>销售业绩证明材料（每份业</w:t>
            </w:r>
            <w:r>
              <w:rPr>
                <w:rFonts w:hint="eastAsia" w:ascii="宋体" w:hAnsi="宋体" w:cs="仿宋"/>
                <w:sz w:val="24"/>
              </w:rPr>
              <w:t>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5</w:t>
            </w:r>
            <w:r>
              <w:rPr>
                <w:rFonts w:hint="eastAsia" w:ascii="宋体" w:hAnsi="宋体" w:cs="仿宋"/>
                <w:color w:val="auto"/>
                <w:sz w:val="24"/>
              </w:rPr>
              <w:t>、需要在广州市地区内设有办事处或仓库，需要提供相关证明材料。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6</w:t>
            </w:r>
            <w:r>
              <w:rPr>
                <w:rFonts w:hint="eastAsia" w:ascii="宋体" w:hAnsi="宋体" w:cs="仿宋"/>
                <w:color w:val="auto"/>
                <w:sz w:val="24"/>
              </w:rPr>
              <w:t>、无诚信方面的不良记录，须提供相关证明文件（例如在“信用中国”网站的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color w:val="auto"/>
                <w:sz w:val="24"/>
                <w:lang w:val="en-US" w:eastAsia="zh-CN"/>
              </w:rPr>
              <w:t>7</w:t>
            </w:r>
            <w:r>
              <w:rPr>
                <w:rFonts w:hint="eastAsia" w:ascii="宋体" w:hAnsi="宋体" w:cs="仿宋"/>
                <w:color w:val="auto"/>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b/>
                <w:sz w:val="24"/>
              </w:rPr>
            </w:pPr>
            <w:r>
              <w:rPr>
                <w:rFonts w:ascii="宋体" w:hAnsi="宋体" w:cs="仿宋"/>
                <w:sz w:val="24"/>
              </w:rPr>
              <w:t>截止时间：</w:t>
            </w:r>
            <w:r>
              <w:rPr>
                <w:rFonts w:ascii="宋体" w:hAnsi="宋体" w:cs="仿宋"/>
                <w:b/>
                <w:sz w:val="24"/>
              </w:rPr>
              <w:t>20</w:t>
            </w:r>
            <w:r>
              <w:rPr>
                <w:rFonts w:hint="eastAsia" w:ascii="宋体" w:hAnsi="宋体" w:cs="仿宋"/>
                <w:b/>
                <w:sz w:val="24"/>
              </w:rPr>
              <w:t>2</w:t>
            </w:r>
            <w:r>
              <w:rPr>
                <w:rFonts w:ascii="宋体" w:hAnsi="宋体" w:cs="仿宋"/>
                <w:b/>
                <w:sz w:val="24"/>
              </w:rPr>
              <w:t>1年</w:t>
            </w:r>
            <w:r>
              <w:rPr>
                <w:rFonts w:hint="eastAsia" w:ascii="宋体" w:hAnsi="宋体" w:cs="仿宋"/>
                <w:b/>
                <w:sz w:val="24"/>
                <w:lang w:val="en-US" w:eastAsia="zh-CN"/>
              </w:rPr>
              <w:t>8</w:t>
            </w:r>
            <w:r>
              <w:rPr>
                <w:rFonts w:ascii="宋体" w:hAnsi="宋体" w:cs="仿宋"/>
                <w:b/>
                <w:sz w:val="24"/>
              </w:rPr>
              <w:t>月2</w:t>
            </w:r>
            <w:r>
              <w:rPr>
                <w:rFonts w:hint="eastAsia" w:ascii="宋体" w:hAnsi="宋体" w:cs="仿宋"/>
                <w:b/>
                <w:sz w:val="24"/>
                <w:lang w:val="en-US" w:eastAsia="zh-CN"/>
              </w:rPr>
              <w:t>3</w:t>
            </w:r>
            <w:r>
              <w:rPr>
                <w:rFonts w:ascii="宋体" w:hAnsi="宋体" w:cs="仿宋"/>
                <w:b/>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lang w:eastAsia="zh-CN"/>
              </w:rPr>
              <w:t>池生</w:t>
            </w:r>
            <w:r>
              <w:rPr>
                <w:rFonts w:hint="eastAsia" w:ascii="宋体" w:hAnsi="宋体" w:cs="仿宋"/>
                <w:sz w:val="24"/>
              </w:rPr>
              <w:t xml:space="preserve">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w:t>
      </w:r>
      <w:r>
        <w:rPr>
          <w:rFonts w:hint="eastAsia" w:ascii="宋体" w:hAnsi="宋体"/>
          <w:snapToGrid w:val="0"/>
          <w:kern w:val="0"/>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8、付款支付方式：按</w:t>
      </w:r>
      <w:r>
        <w:rPr>
          <w:rFonts w:hint="eastAsia" w:ascii="宋体" w:hAnsi="宋体"/>
          <w:snapToGrid w:val="0"/>
          <w:kern w:val="0"/>
          <w:sz w:val="28"/>
          <w:szCs w:val="28"/>
          <w:lang w:eastAsia="zh-CN"/>
        </w:rPr>
        <w:t>月</w:t>
      </w:r>
      <w:r>
        <w:rPr>
          <w:rFonts w:hint="eastAsia" w:ascii="宋体" w:hAnsi="宋体"/>
          <w:snapToGrid w:val="0"/>
          <w:kern w:val="0"/>
          <w:sz w:val="28"/>
          <w:szCs w:val="28"/>
        </w:rPr>
        <w:t>度支付。报价人可在下一</w:t>
      </w:r>
      <w:r>
        <w:rPr>
          <w:rFonts w:hint="eastAsia" w:ascii="宋体" w:hAnsi="宋体"/>
          <w:snapToGrid w:val="0"/>
          <w:kern w:val="0"/>
          <w:sz w:val="28"/>
          <w:szCs w:val="28"/>
          <w:lang w:eastAsia="zh-CN"/>
        </w:rPr>
        <w:t>月</w:t>
      </w:r>
      <w:r>
        <w:rPr>
          <w:rFonts w:hint="eastAsia" w:ascii="宋体" w:hAnsi="宋体"/>
          <w:snapToGrid w:val="0"/>
          <w:kern w:val="0"/>
          <w:sz w:val="28"/>
          <w:szCs w:val="28"/>
        </w:rPr>
        <w:t>度5日内将上一</w:t>
      </w:r>
      <w:r>
        <w:rPr>
          <w:rFonts w:hint="eastAsia" w:ascii="宋体" w:hAnsi="宋体"/>
          <w:snapToGrid w:val="0"/>
          <w:kern w:val="0"/>
          <w:sz w:val="28"/>
          <w:szCs w:val="28"/>
          <w:lang w:eastAsia="zh-CN"/>
        </w:rPr>
        <w:t>月</w:t>
      </w:r>
      <w:r>
        <w:rPr>
          <w:rFonts w:hint="eastAsia" w:ascii="宋体" w:hAnsi="宋体"/>
          <w:snapToGrid w:val="0"/>
          <w:kern w:val="0"/>
          <w:sz w:val="28"/>
          <w:szCs w:val="28"/>
        </w:rPr>
        <w:t>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bookmarkStart w:id="0" w:name="_GoBack"/>
      <w:r>
        <w:rPr>
          <w:rFonts w:hint="eastAsia" w:ascii="宋体" w:hAnsi="宋体"/>
          <w:b/>
          <w:sz w:val="28"/>
          <w:szCs w:val="28"/>
          <w:u w:val="single"/>
        </w:rPr>
        <w:t>2021年度排水井盖设施维护及潜水员水下作业项目</w:t>
      </w:r>
      <w:r>
        <w:rPr>
          <w:rFonts w:hint="eastAsia" w:ascii="宋体" w:hAnsi="宋体"/>
          <w:b/>
          <w:sz w:val="28"/>
          <w:szCs w:val="28"/>
          <w:u w:val="single"/>
          <w:lang w:eastAsia="zh-CN"/>
        </w:rPr>
        <w:t>安全用品</w:t>
      </w:r>
      <w:r>
        <w:rPr>
          <w:rFonts w:hint="eastAsia" w:ascii="宋体" w:hAnsi="宋体"/>
          <w:b/>
          <w:sz w:val="28"/>
          <w:szCs w:val="28"/>
          <w:u w:val="single"/>
        </w:rPr>
        <w:t>采购项目</w:t>
      </w:r>
      <w:bookmarkEnd w:id="0"/>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 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4" w:firstLineChars="200"/>
        <w:rPr>
          <w:rFonts w:ascii="宋体" w:hAnsi="宋体"/>
          <w:spacing w:val="20"/>
          <w:sz w:val="28"/>
          <w:szCs w:val="28"/>
        </w:rPr>
      </w:pPr>
      <w:r>
        <w:rPr>
          <w:rFonts w:hint="eastAsia" w:ascii="宋体" w:hAnsi="宋体"/>
          <w:spacing w:val="20"/>
          <w:sz w:val="28"/>
          <w:szCs w:val="28"/>
        </w:rPr>
        <w:t>1、按“竞价须知表”第9项审核供应商的资格。</w:t>
      </w:r>
    </w:p>
    <w:p>
      <w:pPr>
        <w:tabs>
          <w:tab w:val="left" w:pos="0"/>
        </w:tabs>
        <w:snapToGrid w:val="0"/>
        <w:spacing w:line="360" w:lineRule="auto"/>
        <w:ind w:firstLine="614"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636"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38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6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Cs w:val="21"/>
              </w:rPr>
            </w:pPr>
            <w:r>
              <w:rPr>
                <w:rFonts w:hint="default" w:ascii="Calibri" w:hAnsi="Calibri" w:eastAsia="宋体" w:cs="Calibri"/>
                <w:i w:val="0"/>
                <w:iCs w:val="0"/>
                <w:color w:val="000000"/>
                <w:kern w:val="0"/>
                <w:sz w:val="21"/>
                <w:szCs w:val="21"/>
                <w:u w:val="none"/>
                <w:lang w:val="en-US" w:eastAsia="zh-CN" w:bidi="ar"/>
              </w:rPr>
              <w:t>1</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安全绳</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米</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条</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 w:val="22"/>
                <w:szCs w:val="22"/>
              </w:rPr>
            </w:pPr>
            <w:r>
              <w:rPr>
                <w:rFonts w:hint="default" w:ascii="Calibri" w:hAnsi="Calibri" w:eastAsia="宋体" w:cs="Calibri"/>
                <w:i w:val="0"/>
                <w:iCs w:val="0"/>
                <w:color w:val="000000"/>
                <w:kern w:val="0"/>
                <w:sz w:val="22"/>
                <w:szCs w:val="22"/>
                <w:u w:val="none"/>
                <w:lang w:val="en-US" w:eastAsia="zh-CN" w:bidi="ar"/>
              </w:rPr>
              <w:t>90</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2</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便捷式软胶箭头灯</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800*450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140</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3</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消防干粉灭火器</w:t>
            </w:r>
          </w:p>
        </w:tc>
        <w:tc>
          <w:tcPr>
            <w:tcW w:w="163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4kg</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74</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120</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箭头警示牌铁架</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100*100cm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185</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警示带</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r>
              <w:rPr>
                <w:rFonts w:hint="eastAsia" w:ascii="宋体" w:hAnsi="宋体" w:eastAsia="宋体" w:cs="宋体"/>
                <w:i w:val="0"/>
                <w:iCs w:val="0"/>
                <w:color w:val="000000"/>
                <w:kern w:val="0"/>
                <w:sz w:val="22"/>
                <w:szCs w:val="22"/>
                <w:u w:val="none"/>
                <w:lang w:val="en-US" w:eastAsia="zh-CN" w:bidi="ar"/>
              </w:rPr>
              <w:t>米</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卷</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1"/>
                <w:szCs w:val="21"/>
                <w:u w:val="none"/>
                <w:lang w:val="en-US" w:eastAsia="zh-CN" w:bidi="ar"/>
              </w:rPr>
              <w:t>路锥警示伸缩杆</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PVC/2</w:t>
            </w:r>
            <w:r>
              <w:rPr>
                <w:rStyle w:val="24"/>
                <w:lang w:val="en-US" w:eastAsia="zh-CN" w:bidi="ar"/>
              </w:rPr>
              <w:t>米</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1"/>
                <w:szCs w:val="21"/>
                <w:u w:val="none"/>
                <w:lang w:val="en-US" w:eastAsia="zh-CN" w:bidi="ar"/>
              </w:rPr>
              <w:t>条</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铝板箭头警示牌</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100*50cm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170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前方施工警示牌</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加厚</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148</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青蛙警示灯</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大电子</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市政款护栏</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1500*1000*32</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11</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双反光标雪糕筒</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沙管座</w:t>
            </w:r>
            <w:r>
              <w:rPr>
                <w:rFonts w:hint="default" w:ascii="Calibri" w:hAnsi="Calibri" w:eastAsia="宋体" w:cs="Calibri"/>
                <w:i w:val="0"/>
                <w:iCs w:val="0"/>
                <w:color w:val="000000"/>
                <w:kern w:val="0"/>
                <w:sz w:val="22"/>
                <w:szCs w:val="22"/>
                <w:u w:val="none"/>
                <w:lang w:val="en-US" w:eastAsia="zh-CN" w:bidi="ar"/>
              </w:rPr>
              <w:t>/70#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12</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雪糕筒</w:t>
            </w:r>
            <w:r>
              <w:rPr>
                <w:rFonts w:hint="default" w:ascii="Calibri" w:hAnsi="Calibri" w:eastAsia="宋体" w:cs="Calibri"/>
                <w:i w:val="0"/>
                <w:iCs w:val="0"/>
                <w:color w:val="000000"/>
                <w:kern w:val="0"/>
                <w:sz w:val="22"/>
                <w:szCs w:val="22"/>
                <w:u w:val="none"/>
                <w:lang w:val="en-US" w:eastAsia="zh-CN" w:bidi="ar"/>
              </w:rPr>
              <w:t>90#</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高速路款</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60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13</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雪糕筒反光膜</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晶格膜</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eastAsiaTheme="minorEastAsia"/>
                <w:color w:val="000000"/>
                <w:sz w:val="22"/>
                <w:szCs w:val="22"/>
                <w:lang w:eastAsia="zh-CN"/>
              </w:rPr>
            </w:pPr>
            <w:r>
              <w:rPr>
                <w:rFonts w:hint="eastAsia"/>
                <w:color w:val="000000"/>
                <w:sz w:val="22"/>
                <w:szCs w:val="22"/>
                <w:lang w:eastAsia="zh-CN"/>
              </w:rPr>
              <w:t>张</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爆闪警示灯</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四格</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290</w:t>
            </w:r>
          </w:p>
        </w:tc>
      </w:tr>
    </w:tbl>
    <w:p>
      <w:pPr>
        <w:rPr>
          <w:rFonts w:ascii="宋体" w:hAnsi="宋体"/>
          <w:sz w:val="24"/>
        </w:rPr>
      </w:pPr>
    </w:p>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rPr>
        <w:t>2021年度排水井盖设施维护及潜水员水下作业项目</w:t>
      </w:r>
      <w:r>
        <w:rPr>
          <w:rFonts w:hint="eastAsia" w:ascii="宋体" w:hAnsi="宋体" w:cs="宋体"/>
          <w:b/>
          <w:sz w:val="32"/>
          <w:szCs w:val="32"/>
          <w:u w:val="single"/>
          <w:lang w:eastAsia="zh-CN"/>
        </w:rPr>
        <w:t>安全用品</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50"/>
        <w:gridCol w:w="1237"/>
        <w:gridCol w:w="873"/>
        <w:gridCol w:w="852"/>
        <w:gridCol w:w="876"/>
        <w:gridCol w:w="1548"/>
        <w:gridCol w:w="1574"/>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9"/>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bidi="ar"/>
              </w:rPr>
              <w:t>2021年度排水井盖设施维护及潜水员水下作业项目</w:t>
            </w:r>
            <w:r>
              <w:rPr>
                <w:rFonts w:hint="eastAsia" w:ascii="宋体" w:hAnsi="宋体" w:cs="宋体"/>
                <w:b/>
                <w:kern w:val="0"/>
                <w:sz w:val="22"/>
                <w:szCs w:val="22"/>
                <w:u w:val="single"/>
                <w:lang w:eastAsia="zh-CN" w:bidi="ar"/>
              </w:rPr>
              <w:t>安全用品</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7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5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7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852"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876"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54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583"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vAlign w:val="center"/>
          </w:tcPr>
          <w:p>
            <w:pPr>
              <w:widowControl/>
              <w:jc w:val="center"/>
              <w:textAlignment w:val="center"/>
              <w:rPr>
                <w:rFonts w:ascii="宋体" w:hAnsi="宋体" w:cs="宋体"/>
                <w:kern w:val="0"/>
                <w:sz w:val="24"/>
              </w:rPr>
            </w:pPr>
          </w:p>
        </w:tc>
        <w:tc>
          <w:tcPr>
            <w:tcW w:w="1583"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right"/>
              <w:textAlignment w:val="center"/>
              <w:rPr>
                <w:rFonts w:ascii="宋体" w:hAnsi="宋体" w:cs="宋体"/>
                <w:sz w:val="22"/>
                <w:szCs w:val="22"/>
              </w:rPr>
            </w:pPr>
          </w:p>
        </w:tc>
        <w:tc>
          <w:tcPr>
            <w:tcW w:w="1583"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712" w:type="dxa"/>
            <w:gridSpan w:val="7"/>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57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w:t>
      </w:r>
      <w:r>
        <w:rPr>
          <w:rFonts w:hint="eastAsia" w:ascii="宋体" w:hAnsi="宋体"/>
          <w:szCs w:val="21"/>
          <w:lang w:eastAsia="zh-CN"/>
        </w:rPr>
        <w:t>民法典</w:t>
      </w:r>
      <w:r>
        <w:rPr>
          <w:rFonts w:hint="eastAsia" w:ascii="宋体" w:hAnsi="宋体"/>
          <w:szCs w:val="21"/>
        </w:rPr>
        <w:t>》等相关法律法规，甲、乙双方经平等协商，就货物（设备/材料）采购等相关事宜达成如下条款，供双方共同恪守：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2021年度排水井盖设施维护及潜水员水下作业项目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85"/>
        <w:gridCol w:w="1688"/>
        <w:gridCol w:w="695"/>
        <w:gridCol w:w="992"/>
        <w:gridCol w:w="1156"/>
        <w:gridCol w:w="1282"/>
        <w:gridCol w:w="6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Cs w:val="21"/>
              </w:rPr>
            </w:pPr>
            <w:r>
              <w:rPr>
                <w:rFonts w:hint="eastAsia" w:ascii="宋体" w:hAnsi="宋体"/>
                <w:szCs w:val="21"/>
              </w:rPr>
              <w:t>序号</w:t>
            </w:r>
          </w:p>
        </w:tc>
        <w:tc>
          <w:tcPr>
            <w:tcW w:w="1385" w:type="dxa"/>
            <w:noWrap w:val="0"/>
            <w:vAlign w:val="center"/>
          </w:tcPr>
          <w:p>
            <w:pPr>
              <w:jc w:val="center"/>
              <w:rPr>
                <w:rFonts w:hint="eastAsia" w:ascii="宋体" w:hAnsi="宋体"/>
                <w:szCs w:val="21"/>
              </w:rPr>
            </w:pPr>
            <w:r>
              <w:rPr>
                <w:rFonts w:hint="eastAsia" w:ascii="宋体" w:hAnsi="宋体"/>
                <w:szCs w:val="21"/>
              </w:rPr>
              <w:t>名称</w:t>
            </w:r>
          </w:p>
        </w:tc>
        <w:tc>
          <w:tcPr>
            <w:tcW w:w="1688" w:type="dxa"/>
            <w:noWrap w:val="0"/>
            <w:vAlign w:val="center"/>
          </w:tcPr>
          <w:p>
            <w:pPr>
              <w:jc w:val="center"/>
              <w:rPr>
                <w:rFonts w:hint="eastAsia" w:ascii="宋体" w:hAnsi="宋体"/>
                <w:szCs w:val="21"/>
              </w:rPr>
            </w:pPr>
            <w:r>
              <w:rPr>
                <w:rFonts w:hint="eastAsia" w:ascii="宋体" w:hAnsi="宋体"/>
                <w:szCs w:val="21"/>
              </w:rPr>
              <w:t>规格/型号</w:t>
            </w:r>
          </w:p>
        </w:tc>
        <w:tc>
          <w:tcPr>
            <w:tcW w:w="695" w:type="dxa"/>
            <w:noWrap w:val="0"/>
            <w:vAlign w:val="center"/>
          </w:tcPr>
          <w:p>
            <w:pPr>
              <w:jc w:val="center"/>
              <w:rPr>
                <w:rFonts w:hint="eastAsia" w:ascii="宋体" w:hAnsi="宋体"/>
                <w:szCs w:val="21"/>
              </w:rPr>
            </w:pPr>
            <w:r>
              <w:rPr>
                <w:rFonts w:hint="eastAsia" w:ascii="宋体" w:hAnsi="宋体"/>
                <w:szCs w:val="21"/>
              </w:rPr>
              <w:t>单位</w:t>
            </w:r>
          </w:p>
        </w:tc>
        <w:tc>
          <w:tcPr>
            <w:tcW w:w="992" w:type="dxa"/>
            <w:noWrap w:val="0"/>
            <w:vAlign w:val="center"/>
          </w:tcPr>
          <w:p>
            <w:pPr>
              <w:jc w:val="center"/>
              <w:rPr>
                <w:rFonts w:hint="eastAsia" w:ascii="宋体" w:hAnsi="宋体"/>
                <w:szCs w:val="21"/>
              </w:rPr>
            </w:pPr>
            <w:r>
              <w:rPr>
                <w:rFonts w:hint="eastAsia" w:ascii="宋体" w:hAnsi="宋体"/>
                <w:szCs w:val="21"/>
              </w:rPr>
              <w:t>数量</w:t>
            </w:r>
          </w:p>
        </w:tc>
        <w:tc>
          <w:tcPr>
            <w:tcW w:w="1156" w:type="dxa"/>
            <w:noWrap w:val="0"/>
            <w:vAlign w:val="center"/>
          </w:tcPr>
          <w:p>
            <w:pPr>
              <w:jc w:val="center"/>
              <w:rPr>
                <w:rFonts w:hint="eastAsia" w:ascii="宋体" w:hAnsi="宋体"/>
                <w:szCs w:val="21"/>
              </w:rPr>
            </w:pPr>
            <w:r>
              <w:rPr>
                <w:rFonts w:hint="eastAsia" w:ascii="宋体" w:hAnsi="宋体"/>
                <w:szCs w:val="21"/>
              </w:rPr>
              <w:t>含税单价</w:t>
            </w:r>
          </w:p>
        </w:tc>
        <w:tc>
          <w:tcPr>
            <w:tcW w:w="1282" w:type="dxa"/>
            <w:noWrap w:val="0"/>
            <w:vAlign w:val="center"/>
          </w:tcPr>
          <w:p>
            <w:pPr>
              <w:ind w:left="-103" w:leftChars="-49" w:right="-50" w:rightChars="-24"/>
              <w:jc w:val="center"/>
              <w:rPr>
                <w:rFonts w:hint="eastAsia" w:ascii="宋体" w:hAnsi="宋体"/>
                <w:szCs w:val="21"/>
              </w:rPr>
            </w:pPr>
            <w:r>
              <w:rPr>
                <w:rFonts w:hint="eastAsia" w:ascii="宋体" w:hAnsi="宋体"/>
                <w:szCs w:val="21"/>
              </w:rPr>
              <w:t>含税总价</w:t>
            </w:r>
          </w:p>
        </w:tc>
        <w:tc>
          <w:tcPr>
            <w:tcW w:w="655" w:type="dxa"/>
            <w:noWrap w:val="0"/>
            <w:vAlign w:val="center"/>
          </w:tcPr>
          <w:p>
            <w:pPr>
              <w:jc w:val="center"/>
              <w:rPr>
                <w:rFonts w:hint="eastAsia" w:ascii="宋体" w:hAnsi="宋体"/>
                <w:szCs w:val="21"/>
              </w:rPr>
            </w:pPr>
            <w:r>
              <w:rPr>
                <w:rFonts w:hint="eastAsia" w:ascii="宋体" w:hAnsi="宋体"/>
                <w:szCs w:val="21"/>
              </w:rPr>
              <w:t>税率</w:t>
            </w:r>
          </w:p>
        </w:tc>
        <w:tc>
          <w:tcPr>
            <w:tcW w:w="1118" w:type="dxa"/>
            <w:noWrap w:val="0"/>
            <w:vAlign w:val="center"/>
          </w:tcPr>
          <w:p>
            <w:pPr>
              <w:jc w:val="center"/>
              <w:rPr>
                <w:rFonts w:hint="eastAsia"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1</w:t>
            </w:r>
          </w:p>
        </w:tc>
        <w:tc>
          <w:tcPr>
            <w:tcW w:w="1385" w:type="dxa"/>
            <w:noWrap w:val="0"/>
            <w:vAlign w:val="center"/>
          </w:tcPr>
          <w:p>
            <w:pPr>
              <w:keepNext w:val="0"/>
              <w:keepLines w:val="0"/>
              <w:widowControl/>
              <w:suppressLineNumbers w:val="0"/>
              <w:jc w:val="center"/>
              <w:textAlignment w:val="center"/>
              <w:rPr>
                <w:rFonts w:hint="eastAsia" w:ascii="宋体" w:hAnsi="宋体" w:eastAsia="宋体"/>
                <w:sz w:val="21"/>
                <w:szCs w:val="21"/>
                <w:lang w:eastAsia="zh-CN"/>
              </w:rPr>
            </w:pPr>
          </w:p>
        </w:tc>
        <w:tc>
          <w:tcPr>
            <w:tcW w:w="1688" w:type="dxa"/>
            <w:noWrap w:val="0"/>
            <w:vAlign w:val="center"/>
          </w:tcPr>
          <w:p>
            <w:pPr>
              <w:jc w:val="center"/>
              <w:rPr>
                <w:rFonts w:hint="default" w:ascii="宋体" w:hAnsi="宋体" w:eastAsia="宋体"/>
                <w:sz w:val="21"/>
                <w:szCs w:val="21"/>
                <w:lang w:val="en-US" w:eastAsia="zh-CN"/>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3</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4</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szCs w:val="21"/>
              </w:rPr>
            </w:pPr>
            <w:r>
              <w:rPr>
                <w:rFonts w:hint="eastAsia" w:ascii="宋体" w:hAnsi="宋体"/>
                <w:szCs w:val="21"/>
              </w:rPr>
              <w:t>合计</w:t>
            </w:r>
          </w:p>
        </w:tc>
        <w:tc>
          <w:tcPr>
            <w:tcW w:w="1385" w:type="dxa"/>
            <w:noWrap w:val="0"/>
            <w:vAlign w:val="top"/>
          </w:tcPr>
          <w:p>
            <w:pPr>
              <w:spacing w:line="360" w:lineRule="auto"/>
              <w:rPr>
                <w:rFonts w:hint="eastAsia" w:ascii="宋体" w:hAnsi="宋体"/>
                <w:szCs w:val="21"/>
              </w:rPr>
            </w:pPr>
          </w:p>
        </w:tc>
        <w:tc>
          <w:tcPr>
            <w:tcW w:w="1688" w:type="dxa"/>
            <w:noWrap w:val="0"/>
            <w:vAlign w:val="top"/>
          </w:tcPr>
          <w:p>
            <w:pPr>
              <w:spacing w:line="360" w:lineRule="auto"/>
              <w:rPr>
                <w:rFonts w:hint="eastAsia" w:ascii="宋体" w:hAnsi="宋体"/>
                <w:szCs w:val="21"/>
              </w:rPr>
            </w:pPr>
          </w:p>
        </w:tc>
        <w:tc>
          <w:tcPr>
            <w:tcW w:w="695" w:type="dxa"/>
            <w:noWrap w:val="0"/>
            <w:vAlign w:val="top"/>
          </w:tcPr>
          <w:p>
            <w:pPr>
              <w:spacing w:line="360" w:lineRule="auto"/>
              <w:jc w:val="center"/>
              <w:rPr>
                <w:rFonts w:hint="default" w:ascii="宋体" w:hAnsi="宋体" w:eastAsia="宋体"/>
                <w:szCs w:val="21"/>
                <w:lang w:val="en-US" w:eastAsia="zh-CN"/>
              </w:rPr>
            </w:pPr>
          </w:p>
        </w:tc>
        <w:tc>
          <w:tcPr>
            <w:tcW w:w="992" w:type="dxa"/>
            <w:noWrap w:val="0"/>
            <w:vAlign w:val="top"/>
          </w:tcPr>
          <w:p>
            <w:pPr>
              <w:spacing w:line="360" w:lineRule="auto"/>
              <w:jc w:val="center"/>
              <w:rPr>
                <w:rFonts w:hint="eastAsia" w:ascii="宋体" w:hAnsi="宋体"/>
                <w:szCs w:val="21"/>
              </w:rPr>
            </w:pPr>
          </w:p>
        </w:tc>
        <w:tc>
          <w:tcPr>
            <w:tcW w:w="1156" w:type="dxa"/>
            <w:noWrap w:val="0"/>
            <w:vAlign w:val="center"/>
          </w:tcPr>
          <w:p>
            <w:pPr>
              <w:jc w:val="right"/>
              <w:rPr>
                <w:rFonts w:hint="eastAsia" w:ascii="宋体" w:hAnsi="宋体"/>
                <w:sz w:val="21"/>
                <w:szCs w:val="21"/>
              </w:rPr>
            </w:pPr>
          </w:p>
        </w:tc>
        <w:tc>
          <w:tcPr>
            <w:tcW w:w="1282" w:type="dxa"/>
            <w:noWrap w:val="0"/>
            <w:vAlign w:val="center"/>
          </w:tcPr>
          <w:p>
            <w:pPr>
              <w:keepNext w:val="0"/>
              <w:keepLines w:val="0"/>
              <w:widowControl/>
              <w:suppressLineNumbers w:val="0"/>
              <w:jc w:val="righ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 xml:space="preserve"> </w:t>
            </w:r>
          </w:p>
        </w:tc>
        <w:tc>
          <w:tcPr>
            <w:tcW w:w="655" w:type="dxa"/>
            <w:noWrap w:val="0"/>
            <w:vAlign w:val="top"/>
          </w:tcPr>
          <w:p>
            <w:pPr>
              <w:spacing w:line="360" w:lineRule="auto"/>
              <w:jc w:val="right"/>
              <w:rPr>
                <w:rFonts w:hint="eastAsia" w:ascii="宋体" w:hAnsi="宋体"/>
                <w:szCs w:val="21"/>
              </w:rPr>
            </w:pPr>
          </w:p>
        </w:tc>
        <w:tc>
          <w:tcPr>
            <w:tcW w:w="1118"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44" w:type="dxa"/>
            <w:gridSpan w:val="9"/>
            <w:noWrap w:val="0"/>
            <w:vAlign w:val="top"/>
          </w:tcPr>
          <w:p>
            <w:pPr>
              <w:spacing w:line="360" w:lineRule="auto"/>
              <w:rPr>
                <w:rFonts w:hint="eastAsia" w:ascii="宋体" w:hAnsi="宋体"/>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（含税）；</w:t>
            </w:r>
          </w:p>
          <w:p>
            <w:pPr>
              <w:spacing w:line="360" w:lineRule="auto"/>
              <w:rPr>
                <w:rFonts w:hint="default" w:ascii="宋体" w:hAnsi="宋体" w:eastAsiaTheme="minorEastAsia"/>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（不</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（不含税）；</w:t>
            </w:r>
          </w:p>
        </w:tc>
      </w:tr>
    </w:tbl>
    <w:p>
      <w:pPr>
        <w:ind w:left="56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2.货物（设备/材料）的单价固定不变，当具体采购材料的种类、型号、数量及价格与报价清单不同时，以实际发生且经双方共同书面确认为准，但实际发生的材料总价不能超过签订的合同价总价。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4．乙方应配合甲方对原材料进行随机抽查检测，若检测合格，检测费用由甲方负责，若检测不合格，所产生的检测费用及复检费用由乙方负责，复检仍不合格的甲方有权退货处理，乙方须承担由此造成的一切损失。</w:t>
      </w:r>
    </w:p>
    <w:p>
      <w:pPr>
        <w:numPr>
          <w:ilvl w:val="0"/>
          <w:numId w:val="3"/>
        </w:numPr>
        <w:ind w:left="0" w:firstLine="560"/>
        <w:rPr>
          <w:rFonts w:ascii="宋体" w:hAnsi="宋体"/>
          <w:b/>
          <w:bCs/>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交货方式、时间、地点</w:t>
      </w:r>
    </w:p>
    <w:p>
      <w:pPr>
        <w:ind w:left="56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1.根据实际情况，甲、乙双方选择以第</w:t>
      </w:r>
      <w:r>
        <w:rPr>
          <w:rFonts w:hint="eastAsia" w:ascii="宋体" w:hAnsi="宋体"/>
          <w:color w:val="000000" w:themeColor="text1"/>
          <w:szCs w:val="21"/>
          <w:u w:val="single"/>
          <w14:textFill>
            <w14:solidFill>
              <w14:schemeClr w14:val="tx1"/>
            </w14:solidFill>
          </w14:textFill>
        </w:rPr>
        <w:t xml:space="preserve">  2  </w:t>
      </w:r>
      <w:r>
        <w:rPr>
          <w:rFonts w:hint="eastAsia" w:ascii="宋体" w:hAnsi="宋体"/>
          <w:color w:val="000000" w:themeColor="text1"/>
          <w:szCs w:val="21"/>
          <w14:textFill>
            <w14:solidFill>
              <w14:schemeClr w14:val="tx1"/>
            </w14:solidFill>
          </w14:textFill>
        </w:rPr>
        <w:t>种方式交货：</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一次性交货：</w:t>
      </w:r>
    </w:p>
    <w:p>
      <w:pPr>
        <w:ind w:firstLine="457" w:firstLineChars="2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 xml:space="preserve">               /                 </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分期交货：</w:t>
      </w:r>
    </w:p>
    <w:p>
      <w:pPr>
        <w:ind w:firstLine="457" w:firstLineChars="218"/>
        <w:rPr>
          <w:rFonts w:ascii="宋体" w:hAnsi="宋体"/>
          <w:bCs/>
          <w:color w:val="000000" w:themeColor="text1"/>
          <w:szCs w:val="21"/>
          <w:u w:val="single"/>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根据现场施工进度，需方以书面形式(传真件、短信息或即时聊天软件聊天记录均有效)发出货物需求清单后，乙方须第5天内完成供货并提交符合质量验收标准的资料，乙方不得以合同款尚未结算或合同款结算未完成为理由拒绝提交相关验收资料。</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□行业标准：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lang w:eastAsia="zh-CN"/>
        </w:rPr>
        <w:t>□</w:t>
      </w:r>
      <w:r>
        <w:rPr>
          <w:rFonts w:hint="eastAsia" w:ascii="宋体" w:hAnsi="宋体"/>
          <w:szCs w:val="21"/>
        </w:rPr>
        <w:t>国家标准：</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r>
        <w:rPr>
          <w:rFonts w:ascii="黑体" w:hAnsi="Times New Roman" w:eastAsia="黑体"/>
          <w:sz w:val="32"/>
          <w:szCs w:val="32"/>
        </w:rPr>
        <w:br w:type="page"/>
      </w:r>
    </w:p>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3B53874"/>
    <w:rsid w:val="0730491A"/>
    <w:rsid w:val="09FE0CD7"/>
    <w:rsid w:val="1186431D"/>
    <w:rsid w:val="12CC5401"/>
    <w:rsid w:val="1578418A"/>
    <w:rsid w:val="1FFD3B0E"/>
    <w:rsid w:val="239C34D8"/>
    <w:rsid w:val="2D5F06FC"/>
    <w:rsid w:val="350D12A4"/>
    <w:rsid w:val="395736A2"/>
    <w:rsid w:val="3AD50BAF"/>
    <w:rsid w:val="3B464BEB"/>
    <w:rsid w:val="3C640179"/>
    <w:rsid w:val="45BC2235"/>
    <w:rsid w:val="49A21A24"/>
    <w:rsid w:val="53865E1A"/>
    <w:rsid w:val="560169C9"/>
    <w:rsid w:val="5CEE20AA"/>
    <w:rsid w:val="609206B2"/>
    <w:rsid w:val="64451119"/>
    <w:rsid w:val="67EE32D5"/>
    <w:rsid w:val="6E6B6466"/>
    <w:rsid w:val="70E74C77"/>
    <w:rsid w:val="71D12F2B"/>
    <w:rsid w:val="73BE7724"/>
    <w:rsid w:val="7C8B5CE2"/>
    <w:rsid w:val="7D844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qFormat/>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1952</Words>
  <Characters>11132</Characters>
  <Lines>92</Lines>
  <Paragraphs>26</Paragraphs>
  <TotalTime>5</TotalTime>
  <ScaleCrop>false</ScaleCrop>
  <LinksUpToDate>false</LinksUpToDate>
  <CharactersWithSpaces>13058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cp:lastPrinted>2021-08-12T06:37:00Z</cp:lastPrinted>
  <dcterms:modified xsi:type="dcterms:W3CDTF">2021-08-18T00:08:23Z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6F843BDA528A4783929B61E3AF0B7770</vt:lpwstr>
  </property>
</Properties>
</file>